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9F02" w14:textId="0C88ABFB" w:rsidR="00885D22" w:rsidRPr="005275BA" w:rsidRDefault="00885D22" w:rsidP="00462CB1">
      <w:pPr>
        <w:pStyle w:val="Title"/>
        <w:spacing w:after="480"/>
      </w:pPr>
      <w:r w:rsidRPr="005275BA">
        <w:t>ENERGY</w:t>
      </w:r>
      <w:r w:rsidR="00A44EB6">
        <w:t xml:space="preserve"> ANALYSIS</w:t>
      </w:r>
      <w:r w:rsidRPr="005275BA">
        <w:t xml:space="preserve"> </w:t>
      </w:r>
      <w:r w:rsidR="00C706FE">
        <w:t>TECHNICAL MEMO</w:t>
      </w:r>
    </w:p>
    <w:p w14:paraId="64ABFA59" w14:textId="77777777" w:rsidR="00885D22" w:rsidRPr="00202A9A" w:rsidRDefault="00885D22" w:rsidP="00885D22">
      <w:pPr>
        <w:rPr>
          <w:color w:val="0000FF"/>
          <w:u w:val="single"/>
        </w:rPr>
      </w:pPr>
      <w:r w:rsidRPr="00202A9A">
        <w:rPr>
          <w:color w:val="0000FF"/>
          <w:u w:val="single"/>
        </w:rPr>
        <w:t>INSTRUCTIONS:</w:t>
      </w:r>
    </w:p>
    <w:p w14:paraId="34B01461" w14:textId="2C08EC44" w:rsidR="00885D22" w:rsidRPr="00202A9A" w:rsidRDefault="00885D22" w:rsidP="007C5CF8">
      <w:pPr>
        <w:pStyle w:val="ListParagraph"/>
        <w:numPr>
          <w:ilvl w:val="0"/>
          <w:numId w:val="2"/>
        </w:numPr>
        <w:ind w:left="720" w:hanging="360"/>
        <w:contextualSpacing w:val="0"/>
        <w:rPr>
          <w:color w:val="0000FF"/>
        </w:rPr>
      </w:pPr>
      <w:r w:rsidRPr="00202A9A">
        <w:rPr>
          <w:color w:val="0000FF"/>
        </w:rPr>
        <w:t xml:space="preserve">Do not use this </w:t>
      </w:r>
      <w:r w:rsidR="00EA4E5C">
        <w:rPr>
          <w:color w:val="0000FF"/>
        </w:rPr>
        <w:t>outline</w:t>
      </w:r>
      <w:r w:rsidRPr="00202A9A">
        <w:rPr>
          <w:color w:val="0000FF"/>
        </w:rPr>
        <w:t xml:space="preserve"> for complex and/or large-scale projects with potentially substantial energy impacts.</w:t>
      </w:r>
    </w:p>
    <w:p w14:paraId="620AA43A" w14:textId="4467C347" w:rsidR="00885D22" w:rsidRPr="00202A9A" w:rsidRDefault="00885D22" w:rsidP="007C5CF8">
      <w:pPr>
        <w:pStyle w:val="ListParagraph"/>
        <w:numPr>
          <w:ilvl w:val="0"/>
          <w:numId w:val="2"/>
        </w:numPr>
        <w:spacing w:after="120"/>
        <w:ind w:left="720" w:hanging="360"/>
        <w:contextualSpacing w:val="0"/>
        <w:rPr>
          <w:color w:val="0000FF"/>
        </w:rPr>
      </w:pPr>
      <w:r w:rsidRPr="00202A9A">
        <w:rPr>
          <w:color w:val="0000FF"/>
        </w:rPr>
        <w:t>Please refer to the SER, Volume 1, Chapter 13</w:t>
      </w:r>
      <w:r w:rsidR="00223EF0" w:rsidRPr="00202A9A">
        <w:rPr>
          <w:color w:val="0000FF"/>
        </w:rPr>
        <w:t>,</w:t>
      </w:r>
      <w:r w:rsidRPr="00202A9A">
        <w:rPr>
          <w:color w:val="0000FF"/>
        </w:rPr>
        <w:t xml:space="preserve"> and the Energy Analysis Report Decision Tree to:</w:t>
      </w:r>
    </w:p>
    <w:p w14:paraId="4D4B40DA" w14:textId="1372841D" w:rsidR="00885D22" w:rsidRPr="00202A9A" w:rsidRDefault="00885D22" w:rsidP="007C5CF8">
      <w:pPr>
        <w:pStyle w:val="ListParagraph"/>
        <w:numPr>
          <w:ilvl w:val="1"/>
          <w:numId w:val="3"/>
        </w:numPr>
        <w:spacing w:after="0"/>
        <w:ind w:left="1080"/>
        <w:contextualSpacing w:val="0"/>
        <w:rPr>
          <w:color w:val="0000FF"/>
        </w:rPr>
      </w:pPr>
      <w:r w:rsidRPr="00202A9A">
        <w:rPr>
          <w:color w:val="0000FF"/>
        </w:rPr>
        <w:t xml:space="preserve">Determine the need for a separate Energy Analysis Report (or </w:t>
      </w:r>
      <w:r w:rsidR="00717F22">
        <w:rPr>
          <w:color w:val="0000FF"/>
        </w:rPr>
        <w:t xml:space="preserve">Technical </w:t>
      </w:r>
      <w:r w:rsidRPr="00202A9A">
        <w:rPr>
          <w:color w:val="0000FF"/>
        </w:rPr>
        <w:t>Memo)</w:t>
      </w:r>
    </w:p>
    <w:p w14:paraId="5B03C7BB" w14:textId="6EEE984B" w:rsidR="00885D22" w:rsidRPr="00202A9A" w:rsidRDefault="00885D22" w:rsidP="007C5CF8">
      <w:pPr>
        <w:pStyle w:val="ListParagraph"/>
        <w:numPr>
          <w:ilvl w:val="1"/>
          <w:numId w:val="3"/>
        </w:numPr>
        <w:ind w:left="1080"/>
        <w:contextualSpacing w:val="0"/>
        <w:rPr>
          <w:color w:val="0000FF"/>
        </w:rPr>
      </w:pPr>
      <w:r w:rsidRPr="00202A9A">
        <w:rPr>
          <w:color w:val="0000FF"/>
        </w:rPr>
        <w:t>Determine whether the required assessment is QUALITATIVE or QUANTITATIVE</w:t>
      </w:r>
    </w:p>
    <w:p w14:paraId="3B123749" w14:textId="3052B8FE" w:rsidR="00885D22" w:rsidRPr="00202A9A" w:rsidRDefault="00885D22" w:rsidP="007C5CF8">
      <w:pPr>
        <w:pStyle w:val="ListParagraph"/>
        <w:numPr>
          <w:ilvl w:val="0"/>
          <w:numId w:val="2"/>
        </w:numPr>
        <w:spacing w:after="120"/>
        <w:ind w:left="720" w:hanging="360"/>
        <w:contextualSpacing w:val="0"/>
        <w:rPr>
          <w:color w:val="0000FF"/>
        </w:rPr>
      </w:pPr>
      <w:r w:rsidRPr="00202A9A">
        <w:rPr>
          <w:color w:val="0000FF"/>
        </w:rPr>
        <w:t xml:space="preserve">For Caltrans staff, use the current Caltrans Memorandum template and include the following information: </w:t>
      </w:r>
    </w:p>
    <w:p w14:paraId="44DFCA01" w14:textId="7E66F874" w:rsidR="00885D22" w:rsidRPr="00202A9A" w:rsidRDefault="00885D22" w:rsidP="007C5CF8">
      <w:pPr>
        <w:pStyle w:val="ListParagraph"/>
        <w:numPr>
          <w:ilvl w:val="1"/>
          <w:numId w:val="1"/>
        </w:numPr>
        <w:spacing w:after="0"/>
        <w:ind w:left="1080"/>
        <w:contextualSpacing w:val="0"/>
        <w:rPr>
          <w:color w:val="0000FF"/>
        </w:rPr>
      </w:pPr>
      <w:r w:rsidRPr="00202A9A">
        <w:rPr>
          <w:color w:val="0000FF"/>
        </w:rPr>
        <w:t xml:space="preserve">Address memo to the District Branch Chief of Environmental Analysis </w:t>
      </w:r>
    </w:p>
    <w:p w14:paraId="58556413" w14:textId="77777777" w:rsidR="00885D22" w:rsidRPr="00202A9A" w:rsidRDefault="00885D22" w:rsidP="007C5CF8">
      <w:pPr>
        <w:pStyle w:val="ListParagraph"/>
        <w:spacing w:after="0"/>
        <w:ind w:left="1080"/>
        <w:contextualSpacing w:val="0"/>
        <w:rPr>
          <w:color w:val="0000FF"/>
        </w:rPr>
      </w:pPr>
      <w:r w:rsidRPr="00202A9A">
        <w:rPr>
          <w:color w:val="0000FF"/>
        </w:rPr>
        <w:t>Attention to: Project Generalist</w:t>
      </w:r>
    </w:p>
    <w:p w14:paraId="5EED1354" w14:textId="77777777" w:rsidR="00885D22" w:rsidRPr="00202A9A" w:rsidRDefault="00885D22" w:rsidP="007C5CF8">
      <w:pPr>
        <w:pStyle w:val="ListParagraph"/>
        <w:spacing w:after="0"/>
        <w:ind w:left="1080"/>
        <w:contextualSpacing w:val="0"/>
        <w:rPr>
          <w:color w:val="0000FF"/>
        </w:rPr>
      </w:pPr>
      <w:r w:rsidRPr="00202A9A">
        <w:rPr>
          <w:color w:val="0000FF"/>
        </w:rPr>
        <w:t>From: Environmental Engineering Branch Chief and the Energy Analyst</w:t>
      </w:r>
    </w:p>
    <w:p w14:paraId="480B62F8" w14:textId="0D2E27E7" w:rsidR="00885D22" w:rsidRPr="00202A9A" w:rsidRDefault="00885D22" w:rsidP="007C5CF8">
      <w:pPr>
        <w:pStyle w:val="ListParagraph"/>
        <w:numPr>
          <w:ilvl w:val="1"/>
          <w:numId w:val="1"/>
        </w:numPr>
        <w:spacing w:after="0"/>
        <w:ind w:left="1080"/>
        <w:contextualSpacing w:val="0"/>
        <w:rPr>
          <w:color w:val="0000FF"/>
        </w:rPr>
      </w:pPr>
      <w:r w:rsidRPr="00202A9A">
        <w:rPr>
          <w:color w:val="0000FF"/>
        </w:rPr>
        <w:t>Provide date</w:t>
      </w:r>
    </w:p>
    <w:p w14:paraId="77E09BAF" w14:textId="0869D552" w:rsidR="00885D22" w:rsidRPr="00202A9A" w:rsidRDefault="00885D22" w:rsidP="007C5CF8">
      <w:pPr>
        <w:pStyle w:val="ListParagraph"/>
        <w:numPr>
          <w:ilvl w:val="1"/>
          <w:numId w:val="1"/>
        </w:numPr>
        <w:spacing w:after="0"/>
        <w:ind w:left="1080"/>
        <w:contextualSpacing w:val="0"/>
        <w:rPr>
          <w:color w:val="0000FF"/>
        </w:rPr>
      </w:pPr>
      <w:r w:rsidRPr="00202A9A">
        <w:rPr>
          <w:color w:val="0000FF"/>
        </w:rPr>
        <w:t>Provide project information in the “File” section of the memo:</w:t>
      </w:r>
    </w:p>
    <w:p w14:paraId="7EC16F5F" w14:textId="339BD7AE" w:rsidR="00885D22" w:rsidRPr="00202A9A" w:rsidRDefault="00885D22" w:rsidP="007C5CF8">
      <w:pPr>
        <w:pStyle w:val="ListParagraph"/>
        <w:numPr>
          <w:ilvl w:val="2"/>
          <w:numId w:val="5"/>
        </w:numPr>
        <w:spacing w:after="0"/>
        <w:ind w:left="1620" w:hanging="360"/>
        <w:contextualSpacing w:val="0"/>
        <w:rPr>
          <w:color w:val="0000FF"/>
        </w:rPr>
      </w:pPr>
      <w:r w:rsidRPr="00202A9A">
        <w:rPr>
          <w:color w:val="0000FF"/>
        </w:rPr>
        <w:t>EA Number</w:t>
      </w:r>
    </w:p>
    <w:p w14:paraId="5DDA97CE" w14:textId="6D52F559" w:rsidR="00885D22" w:rsidRPr="00202A9A" w:rsidRDefault="00885D22" w:rsidP="007C5CF8">
      <w:pPr>
        <w:pStyle w:val="ListParagraph"/>
        <w:numPr>
          <w:ilvl w:val="2"/>
          <w:numId w:val="5"/>
        </w:numPr>
        <w:spacing w:after="0"/>
        <w:ind w:left="1620" w:hanging="360"/>
        <w:contextualSpacing w:val="0"/>
        <w:rPr>
          <w:color w:val="0000FF"/>
        </w:rPr>
      </w:pPr>
      <w:r w:rsidRPr="00202A9A">
        <w:rPr>
          <w:color w:val="0000FF"/>
        </w:rPr>
        <w:t xml:space="preserve">District-County-Route-Start postmiles (PM)/End PM  </w:t>
      </w:r>
    </w:p>
    <w:p w14:paraId="25FEA343" w14:textId="73D4CF71" w:rsidR="00885D22" w:rsidRPr="00202A9A" w:rsidRDefault="00885D22" w:rsidP="007C5CF8">
      <w:pPr>
        <w:pStyle w:val="ListParagraph"/>
        <w:numPr>
          <w:ilvl w:val="2"/>
          <w:numId w:val="5"/>
        </w:numPr>
        <w:spacing w:after="0"/>
        <w:ind w:left="1620" w:hanging="360"/>
        <w:contextualSpacing w:val="0"/>
        <w:rPr>
          <w:color w:val="0000FF"/>
        </w:rPr>
      </w:pPr>
      <w:r w:rsidRPr="00202A9A">
        <w:rPr>
          <w:color w:val="0000FF"/>
        </w:rPr>
        <w:t>Project Nickname (e.g., SR 82 Roadway Rehabilitation)</w:t>
      </w:r>
    </w:p>
    <w:p w14:paraId="34CA0A9F" w14:textId="6AF9BEAA" w:rsidR="00885D22" w:rsidRPr="00202A9A" w:rsidRDefault="00885D22" w:rsidP="007C5CF8">
      <w:pPr>
        <w:pStyle w:val="ListParagraph"/>
        <w:numPr>
          <w:ilvl w:val="1"/>
          <w:numId w:val="1"/>
        </w:numPr>
        <w:ind w:left="1080"/>
        <w:contextualSpacing w:val="0"/>
        <w:rPr>
          <w:color w:val="0000FF"/>
        </w:rPr>
      </w:pPr>
      <w:r w:rsidRPr="00202A9A">
        <w:rPr>
          <w:color w:val="0000FF"/>
        </w:rPr>
        <w:t>Provide Subject: Energy Analysis Technical Memo</w:t>
      </w:r>
    </w:p>
    <w:p w14:paraId="460641F7" w14:textId="0E1E7767" w:rsidR="00885D22" w:rsidRPr="00202A9A" w:rsidRDefault="00885D22" w:rsidP="007C5CF8">
      <w:pPr>
        <w:pStyle w:val="ListParagraph"/>
        <w:numPr>
          <w:ilvl w:val="0"/>
          <w:numId w:val="2"/>
        </w:numPr>
        <w:spacing w:after="120"/>
        <w:ind w:left="720" w:hanging="360"/>
        <w:contextualSpacing w:val="0"/>
        <w:rPr>
          <w:color w:val="0000FF"/>
        </w:rPr>
      </w:pPr>
      <w:r w:rsidRPr="00202A9A">
        <w:rPr>
          <w:color w:val="0000FF"/>
        </w:rPr>
        <w:t>For Non-Caltrans preparers (i.e., consultants, local agencies), use a letter format and provide:</w:t>
      </w:r>
    </w:p>
    <w:p w14:paraId="791D7027" w14:textId="0FBF5C77" w:rsidR="00885D22" w:rsidRPr="00202A9A" w:rsidRDefault="00885D22" w:rsidP="007C5CF8">
      <w:pPr>
        <w:pStyle w:val="ListParagraph"/>
        <w:numPr>
          <w:ilvl w:val="1"/>
          <w:numId w:val="1"/>
        </w:numPr>
        <w:spacing w:after="0"/>
        <w:ind w:left="1080"/>
        <w:contextualSpacing w:val="0"/>
        <w:rPr>
          <w:color w:val="0000FF"/>
        </w:rPr>
      </w:pPr>
      <w:r w:rsidRPr="00202A9A">
        <w:rPr>
          <w:color w:val="0000FF"/>
        </w:rPr>
        <w:t>Information listed above</w:t>
      </w:r>
    </w:p>
    <w:p w14:paraId="796476AF" w14:textId="5C3D97D4" w:rsidR="00885D22" w:rsidRPr="00202A9A" w:rsidRDefault="00885D22" w:rsidP="007C5CF8">
      <w:pPr>
        <w:pStyle w:val="ListParagraph"/>
        <w:numPr>
          <w:ilvl w:val="1"/>
          <w:numId w:val="1"/>
        </w:numPr>
        <w:ind w:left="1080"/>
        <w:contextualSpacing w:val="0"/>
        <w:rPr>
          <w:color w:val="0000FF"/>
        </w:rPr>
      </w:pPr>
      <w:r w:rsidRPr="00202A9A">
        <w:rPr>
          <w:color w:val="0000FF"/>
        </w:rPr>
        <w:t>An approval signature line for Caltrans</w:t>
      </w:r>
    </w:p>
    <w:p w14:paraId="1E2A14C8" w14:textId="4510BBC8" w:rsidR="00885D22" w:rsidRPr="00202A9A" w:rsidRDefault="00202A9A" w:rsidP="007C5CF8">
      <w:pPr>
        <w:pStyle w:val="ListParagraph"/>
        <w:numPr>
          <w:ilvl w:val="0"/>
          <w:numId w:val="2"/>
        </w:numPr>
        <w:spacing w:after="120"/>
        <w:ind w:left="720" w:hanging="360"/>
        <w:contextualSpacing w:val="0"/>
        <w:rPr>
          <w:color w:val="0000FF"/>
        </w:rPr>
      </w:pPr>
      <w:r w:rsidRPr="00454D10">
        <w:rPr>
          <w:color w:val="0000FF"/>
        </w:rPr>
        <w:t>Change the font color of the boilerplate language (shown in red) to black and r</w:t>
      </w:r>
      <w:r w:rsidR="00885D22" w:rsidRPr="00454D10">
        <w:rPr>
          <w:color w:val="0000FF"/>
        </w:rPr>
        <w:t xml:space="preserve">emove examples </w:t>
      </w:r>
      <w:r w:rsidRPr="00454D10">
        <w:rPr>
          <w:color w:val="0000FF"/>
        </w:rPr>
        <w:t xml:space="preserve">(shown in purple) </w:t>
      </w:r>
      <w:r w:rsidR="00885D22" w:rsidRPr="00454D10">
        <w:rPr>
          <w:color w:val="0000FF"/>
        </w:rPr>
        <w:t xml:space="preserve">and instructions </w:t>
      </w:r>
      <w:r w:rsidRPr="00454D10">
        <w:rPr>
          <w:color w:val="0000FF"/>
        </w:rPr>
        <w:t xml:space="preserve">(shown in blue) </w:t>
      </w:r>
      <w:r w:rsidR="00885D22" w:rsidRPr="00454D10">
        <w:rPr>
          <w:color w:val="0000FF"/>
        </w:rPr>
        <w:t>when</w:t>
      </w:r>
      <w:r w:rsidR="00885D22" w:rsidRPr="00202A9A">
        <w:rPr>
          <w:color w:val="0000FF"/>
        </w:rPr>
        <w:t xml:space="preserve"> memo is finalized.</w:t>
      </w:r>
    </w:p>
    <w:p w14:paraId="3ED8D61C" w14:textId="3B13D448" w:rsidR="00885D22" w:rsidRDefault="00885D22">
      <w:r>
        <w:br w:type="page"/>
      </w:r>
    </w:p>
    <w:p w14:paraId="5E4C397C" w14:textId="77777777" w:rsidR="00885D22" w:rsidRPr="005275BA" w:rsidRDefault="00885D22" w:rsidP="005275BA">
      <w:pPr>
        <w:pStyle w:val="Heading1"/>
      </w:pPr>
      <w:r w:rsidRPr="005275BA">
        <w:lastRenderedPageBreak/>
        <w:t>INTRODUCTION</w:t>
      </w:r>
    </w:p>
    <w:p w14:paraId="2D462D67" w14:textId="44FED24E" w:rsidR="00885D22" w:rsidRPr="00202A9A" w:rsidRDefault="00885D22" w:rsidP="00885D22">
      <w:pPr>
        <w:rPr>
          <w:color w:val="0000FF"/>
        </w:rPr>
      </w:pPr>
      <w:r w:rsidRPr="00454D10">
        <w:rPr>
          <w:color w:val="0000FF"/>
        </w:rPr>
        <w:t>(</w:t>
      </w:r>
      <w:r w:rsidR="00202A9A" w:rsidRPr="00454D10">
        <w:rPr>
          <w:color w:val="0000FF"/>
        </w:rPr>
        <w:t>NOTE: The following text is b</w:t>
      </w:r>
      <w:r w:rsidRPr="00454D10">
        <w:rPr>
          <w:color w:val="0000FF"/>
        </w:rPr>
        <w:t>oiler</w:t>
      </w:r>
      <w:r w:rsidR="00202A9A" w:rsidRPr="00454D10">
        <w:rPr>
          <w:color w:val="0000FF"/>
        </w:rPr>
        <w:t>p</w:t>
      </w:r>
      <w:r w:rsidRPr="00454D10">
        <w:rPr>
          <w:color w:val="0000FF"/>
        </w:rPr>
        <w:t xml:space="preserve">late </w:t>
      </w:r>
      <w:r w:rsidR="00202A9A" w:rsidRPr="00454D10">
        <w:rPr>
          <w:color w:val="0000FF"/>
        </w:rPr>
        <w:t>l</w:t>
      </w:r>
      <w:r w:rsidRPr="00454D10">
        <w:rPr>
          <w:color w:val="0000FF"/>
        </w:rPr>
        <w:t>anguage)</w:t>
      </w:r>
    </w:p>
    <w:p w14:paraId="78489CB6" w14:textId="77777777" w:rsidR="00885D22" w:rsidRPr="00B549F4" w:rsidRDefault="00885D22" w:rsidP="00885D22">
      <w:pPr>
        <w:rPr>
          <w:color w:val="A50021"/>
        </w:rPr>
      </w:pPr>
      <w:r w:rsidRPr="00B549F4">
        <w:rPr>
          <w:color w:val="A50021"/>
        </w:rPr>
        <w:t>The National Environmental Policy Act (NEPA) (42 U.S. Code Part 4332) requires the identification of all potentially significant impacts on the environment, including impacts on energy resources. Guidance for evaluating energy impacts of transportation projects subject to NEPA is outlined in FHWA's Technical Advisory T 6640.8A (Technical Advisory). The Technical Advisory energy analysis requirement applies to projects for which an Environmental Impact Statement (EIS) is prepared. The Technical Advisory indicates that documentation should discuss energy requirements for construction and operation, and the overall conservation potential for each of the project alternatives. The relationship of the project alternatives to applicable state or regional energy plan should also be documented. Additional conservation measures, such as use of high-occupancy vehicle incentives and other measures to improve traffic flow should also be identified.</w:t>
      </w:r>
    </w:p>
    <w:p w14:paraId="14B0D939" w14:textId="77777777" w:rsidR="00885D22" w:rsidRPr="00B549F4" w:rsidRDefault="00885D22" w:rsidP="00885D22">
      <w:pPr>
        <w:rPr>
          <w:color w:val="A50021"/>
        </w:rPr>
      </w:pPr>
      <w:r w:rsidRPr="00B549F4">
        <w:rPr>
          <w:color w:val="A50021"/>
        </w:rPr>
        <w:t>Other measures to improve energy efficiency in the transportation sector have been implemented at the federal level. In recent years, the United States Environmental Protection Agency (U.S. EPA) and the National Highway Traffic Safety Administration (NHTSA) issued Final Rules governing Corporate Average Fuel Economy (CAFE) standards and other improvements to fuel economy to new vehicles.</w:t>
      </w:r>
    </w:p>
    <w:p w14:paraId="5F8A10C9" w14:textId="77777777" w:rsidR="00885D22" w:rsidRPr="00B549F4" w:rsidRDefault="00885D22" w:rsidP="00885D22">
      <w:pPr>
        <w:rPr>
          <w:color w:val="A50021"/>
        </w:rPr>
      </w:pPr>
      <w:r w:rsidRPr="00B549F4">
        <w:rPr>
          <w:color w:val="A50021"/>
        </w:rPr>
        <w:t>On December 28, 2018, the Governor's Office of Planning and Research and the California Natural Resources Agency updated the California Environmental Quality Act (CEQA) Guidelines to require that an environmental document include an analysis of a project's potential for significant environmental effects resulting from wasteful, inefficient, or unnecessary use of energy; or wasteful use of energy resources (Guidelines § 15126.2(b)). The Initial Study/Negative Declaration/Mitigated Negative Declaration (IS/ND/MND) or Environmental Impact Report shall describe feasible measures which could minimize inefficient and unnecessary consumption of energy (Guidelines § 15126.4) and examples of energy conservation measures are provided in the Guidelines Appendix F.</w:t>
      </w:r>
    </w:p>
    <w:p w14:paraId="4EB2C7E2" w14:textId="77777777" w:rsidR="00885D22" w:rsidRPr="00B549F4" w:rsidRDefault="00885D22" w:rsidP="00885D22">
      <w:pPr>
        <w:rPr>
          <w:color w:val="A50021"/>
        </w:rPr>
      </w:pPr>
      <w:r w:rsidRPr="00B549F4">
        <w:rPr>
          <w:color w:val="A50021"/>
        </w:rPr>
        <w:t>Assembly Bill (AB) 32 codified the 2020 greenhouse gas (GHG) emissions reduction goals outlined in Executive Order (EO) S-3-05. Senate Bill 32 codified the GHG reduction targets established in EO B-30-15 to achieve a mid-range goal of 40 percent below 1990 levels by 2030. The California Air Resources Board (ARB) is required to create a scoping plan and implement rules to achieve “real, quantifiable, cost-effective reductions of greenhouse gases.” The law requires ARB to adopt rules and regulations to achieve the maximum technologically feasible and cost-effective GHG reductions. Energy use and efficiency are important considerations for achieving state goals to reduce greenhouse gas emissions.</w:t>
      </w:r>
    </w:p>
    <w:p w14:paraId="1A79FA14" w14:textId="77777777" w:rsidR="00462CB1" w:rsidRDefault="00462CB1">
      <w:pPr>
        <w:spacing w:after="160"/>
        <w:rPr>
          <w:b/>
          <w:bCs/>
          <w:sz w:val="28"/>
        </w:rPr>
      </w:pPr>
      <w:r>
        <w:br w:type="page"/>
      </w:r>
    </w:p>
    <w:p w14:paraId="2D0F4D08" w14:textId="6F188382" w:rsidR="00885D22" w:rsidRPr="00F55396" w:rsidRDefault="00885D22" w:rsidP="005275BA">
      <w:pPr>
        <w:pStyle w:val="Heading1"/>
      </w:pPr>
      <w:r w:rsidRPr="00F55396">
        <w:lastRenderedPageBreak/>
        <w:t>PROJECT DESCRIPTION</w:t>
      </w:r>
    </w:p>
    <w:p w14:paraId="619C4E08" w14:textId="77777777" w:rsidR="00A41685" w:rsidRDefault="00885D22" w:rsidP="00A41685">
      <w:pPr>
        <w:spacing w:after="120"/>
        <w:rPr>
          <w:color w:val="0000FF"/>
        </w:rPr>
      </w:pPr>
      <w:r w:rsidRPr="0000250D">
        <w:rPr>
          <w:color w:val="0000FF"/>
          <w:u w:val="single"/>
        </w:rPr>
        <w:t>Instruction</w:t>
      </w:r>
      <w:r w:rsidRPr="0000250D">
        <w:rPr>
          <w:color w:val="0000FF"/>
        </w:rPr>
        <w:t>:</w:t>
      </w:r>
    </w:p>
    <w:p w14:paraId="3F0AF543" w14:textId="752D3021" w:rsidR="00885D22" w:rsidRPr="0000250D" w:rsidRDefault="00885D22" w:rsidP="00885D22">
      <w:pPr>
        <w:rPr>
          <w:color w:val="0000FF"/>
        </w:rPr>
      </w:pPr>
      <w:r w:rsidRPr="0000250D">
        <w:rPr>
          <w:color w:val="0000FF"/>
        </w:rPr>
        <w:t>Provide brief description of the project and the alternatives. (Do not provide a very detailed discussion since this will already be in other reports and in the environmental document).</w:t>
      </w:r>
    </w:p>
    <w:p w14:paraId="226FDE83" w14:textId="77777777" w:rsidR="00885D22" w:rsidRPr="0000250D" w:rsidRDefault="00885D22" w:rsidP="00A41685">
      <w:pPr>
        <w:spacing w:after="120"/>
        <w:rPr>
          <w:color w:val="800080"/>
        </w:rPr>
      </w:pPr>
      <w:r w:rsidRPr="0000250D">
        <w:rPr>
          <w:color w:val="800080"/>
          <w:u w:val="single"/>
        </w:rPr>
        <w:t>Example</w:t>
      </w:r>
      <w:r w:rsidRPr="0000250D">
        <w:rPr>
          <w:color w:val="800080"/>
        </w:rPr>
        <w:t>:</w:t>
      </w:r>
    </w:p>
    <w:p w14:paraId="38B812E5" w14:textId="77777777" w:rsidR="00885D22" w:rsidRPr="0000250D" w:rsidRDefault="00885D22" w:rsidP="00885D22">
      <w:pPr>
        <w:rPr>
          <w:color w:val="800080"/>
        </w:rPr>
      </w:pPr>
      <w:r w:rsidRPr="0000250D">
        <w:rPr>
          <w:color w:val="800080"/>
        </w:rPr>
        <w:t>The project proposes to rehabilitate the roadway and sidewalks, improve safety and visibility, remedy drainage issues and upgrade curb ramps to be ADA compliant along El Camino Real (State Route 82, PM 12.3/15.9) in the City of Burlingame, San Mateo County. The Build alternatives are listed below:</w:t>
      </w:r>
    </w:p>
    <w:p w14:paraId="54CAC374" w14:textId="01B34AC1" w:rsidR="00885D22" w:rsidRPr="0000250D" w:rsidRDefault="00885D22" w:rsidP="00885D22">
      <w:pPr>
        <w:rPr>
          <w:color w:val="800080"/>
        </w:rPr>
      </w:pPr>
      <w:r w:rsidRPr="0000250D">
        <w:rPr>
          <w:color w:val="800080"/>
        </w:rPr>
        <w:t>Alternative 1 - Roadway rehabilitation and infrastructure upgrade</w:t>
      </w:r>
      <w:r w:rsidR="009075E8">
        <w:rPr>
          <w:color w:val="800080"/>
        </w:rPr>
        <w:t>.</w:t>
      </w:r>
    </w:p>
    <w:p w14:paraId="32F7A5EB" w14:textId="77777777" w:rsidR="00885D22" w:rsidRPr="0000250D" w:rsidRDefault="00885D22" w:rsidP="00885D22">
      <w:pPr>
        <w:rPr>
          <w:color w:val="800080"/>
        </w:rPr>
      </w:pPr>
      <w:r w:rsidRPr="0000250D">
        <w:rPr>
          <w:color w:val="800080"/>
        </w:rPr>
        <w:t>Alternative 2 - Roadway rehabilitation and infrastructure upgrade with underground utilities.</w:t>
      </w:r>
    </w:p>
    <w:p w14:paraId="2642266C" w14:textId="77777777" w:rsidR="00A41685" w:rsidRDefault="00885D22" w:rsidP="00A41685">
      <w:pPr>
        <w:spacing w:after="120"/>
        <w:rPr>
          <w:color w:val="0000FF"/>
        </w:rPr>
      </w:pPr>
      <w:r w:rsidRPr="0000250D">
        <w:rPr>
          <w:color w:val="0000FF"/>
          <w:u w:val="single"/>
        </w:rPr>
        <w:t>Instruction</w:t>
      </w:r>
      <w:r w:rsidRPr="0000250D">
        <w:rPr>
          <w:color w:val="0000FF"/>
        </w:rPr>
        <w:t>:</w:t>
      </w:r>
    </w:p>
    <w:p w14:paraId="11642507" w14:textId="0F540B4C" w:rsidR="00885D22" w:rsidRPr="0000250D" w:rsidRDefault="00885D22" w:rsidP="00885D22">
      <w:pPr>
        <w:rPr>
          <w:color w:val="0000FF"/>
        </w:rPr>
      </w:pPr>
      <w:r w:rsidRPr="0000250D">
        <w:rPr>
          <w:color w:val="0000FF"/>
        </w:rPr>
        <w:t>Provide brief discussion why analysis is required for the project.</w:t>
      </w:r>
    </w:p>
    <w:p w14:paraId="49ED4AA5" w14:textId="77777777" w:rsidR="00885D22" w:rsidRPr="0000250D" w:rsidRDefault="00885D22" w:rsidP="00A41685">
      <w:pPr>
        <w:spacing w:after="120"/>
        <w:rPr>
          <w:color w:val="800080"/>
        </w:rPr>
      </w:pPr>
      <w:r w:rsidRPr="0000250D">
        <w:rPr>
          <w:color w:val="800080"/>
          <w:u w:val="single"/>
        </w:rPr>
        <w:t>Example of a non-capacity increasing and non-congestion relief project</w:t>
      </w:r>
      <w:r w:rsidRPr="0000250D">
        <w:rPr>
          <w:color w:val="800080"/>
        </w:rPr>
        <w:t>:</w:t>
      </w:r>
    </w:p>
    <w:p w14:paraId="2F557243" w14:textId="04EB1D01" w:rsidR="00885D22" w:rsidRPr="0000250D" w:rsidRDefault="00885D22" w:rsidP="00885D22">
      <w:pPr>
        <w:rPr>
          <w:color w:val="800080"/>
        </w:rPr>
      </w:pPr>
      <w:r w:rsidRPr="0000250D">
        <w:rPr>
          <w:color w:val="800080"/>
        </w:rPr>
        <w:t xml:space="preserve">The proposed project is not expected to increase vehicle capacity, nor expected to result in substantial energy use, therefore a qualitative energy analysis will be used to comply with CEQA and will be included in the NEPA document. This </w:t>
      </w:r>
      <w:r w:rsidR="00516D4A">
        <w:rPr>
          <w:color w:val="800080"/>
        </w:rPr>
        <w:t xml:space="preserve">technical </w:t>
      </w:r>
      <w:r w:rsidRPr="0000250D">
        <w:rPr>
          <w:color w:val="800080"/>
        </w:rPr>
        <w:t>memo will analyze energy use during construction (quantitative), during operation (qualitative) and maintenance (qualitative).</w:t>
      </w:r>
    </w:p>
    <w:p w14:paraId="212D3E0C" w14:textId="77777777" w:rsidR="00885D22" w:rsidRPr="00F55396" w:rsidRDefault="00885D22" w:rsidP="005275BA">
      <w:pPr>
        <w:pStyle w:val="Heading1"/>
      </w:pPr>
      <w:r w:rsidRPr="00F55396">
        <w:t>AFFECTED ENVIRONMENT</w:t>
      </w:r>
    </w:p>
    <w:p w14:paraId="3C55F62E" w14:textId="77777777" w:rsidR="00A41685" w:rsidRPr="00E676C9" w:rsidRDefault="00885D22" w:rsidP="00A41685">
      <w:pPr>
        <w:spacing w:after="120"/>
        <w:rPr>
          <w:color w:val="0000FF"/>
        </w:rPr>
      </w:pPr>
      <w:r w:rsidRPr="00E676C9">
        <w:rPr>
          <w:color w:val="0000FF"/>
          <w:u w:val="single"/>
        </w:rPr>
        <w:t>Instruction</w:t>
      </w:r>
      <w:r w:rsidRPr="00E676C9">
        <w:rPr>
          <w:color w:val="0000FF"/>
        </w:rPr>
        <w:t>:</w:t>
      </w:r>
    </w:p>
    <w:p w14:paraId="5FB20F20" w14:textId="252CA22A" w:rsidR="00885D22" w:rsidRPr="0000250D" w:rsidRDefault="00885D22" w:rsidP="00885D22">
      <w:pPr>
        <w:rPr>
          <w:color w:val="0000FF"/>
        </w:rPr>
      </w:pPr>
      <w:r w:rsidRPr="0000250D">
        <w:rPr>
          <w:color w:val="0000FF"/>
        </w:rPr>
        <w:t xml:space="preserve">This section should include a description of existing conditions in the project area that affect energy usage. For example, what are the existing traffic conditions? What mix of vehicles is currently using the facility (particularly if the project is expected to substantially change the vehicle mix)? Are there existing traffic management system (TMS) elements in place? What is the condition of the existing pavement surface? A poor driving surface can contribute to an increase in fuel consumption. Is there existing highway lighting and what type </w:t>
      </w:r>
      <w:proofErr w:type="gramStart"/>
      <w:r w:rsidRPr="0000250D">
        <w:rPr>
          <w:color w:val="0000FF"/>
        </w:rPr>
        <w:t>is</w:t>
      </w:r>
      <w:proofErr w:type="gramEnd"/>
      <w:r w:rsidRPr="0000250D">
        <w:rPr>
          <w:color w:val="0000FF"/>
        </w:rPr>
        <w:t xml:space="preserve"> it?</w:t>
      </w:r>
    </w:p>
    <w:p w14:paraId="4CFB2461" w14:textId="77777777" w:rsidR="00885D22" w:rsidRPr="0000250D" w:rsidRDefault="00885D22" w:rsidP="00A41685">
      <w:pPr>
        <w:spacing w:after="120"/>
        <w:rPr>
          <w:color w:val="800080"/>
        </w:rPr>
      </w:pPr>
      <w:r w:rsidRPr="0000250D">
        <w:rPr>
          <w:color w:val="800080"/>
          <w:u w:val="single"/>
        </w:rPr>
        <w:t>Example</w:t>
      </w:r>
      <w:r w:rsidRPr="0000250D">
        <w:rPr>
          <w:color w:val="800080"/>
        </w:rPr>
        <w:t>:</w:t>
      </w:r>
    </w:p>
    <w:p w14:paraId="59AF6A57" w14:textId="77777777" w:rsidR="00885D22" w:rsidRPr="0000250D" w:rsidRDefault="00885D22" w:rsidP="00885D22">
      <w:pPr>
        <w:rPr>
          <w:color w:val="800080"/>
        </w:rPr>
      </w:pPr>
      <w:r w:rsidRPr="0000250D">
        <w:rPr>
          <w:color w:val="800080"/>
        </w:rPr>
        <w:t xml:space="preserve">The project area is located within a relatively urbanized environment, and the surrounding landscape includes mixed residential and commercial development. State </w:t>
      </w:r>
      <w:r w:rsidRPr="0000250D">
        <w:rPr>
          <w:color w:val="800080"/>
        </w:rPr>
        <w:lastRenderedPageBreak/>
        <w:t xml:space="preserve">Route 82 is a signalized major thoroughfare that connects several downtown areas and communities in San Mateo County. There are various roadside advisory, warning and regulatory signs, light </w:t>
      </w:r>
      <w:proofErr w:type="gramStart"/>
      <w:r w:rsidRPr="0000250D">
        <w:rPr>
          <w:color w:val="800080"/>
        </w:rPr>
        <w:t>poles</w:t>
      </w:r>
      <w:proofErr w:type="gramEnd"/>
      <w:r w:rsidRPr="0000250D">
        <w:rPr>
          <w:color w:val="800080"/>
        </w:rPr>
        <w:t xml:space="preserve"> and luminaries along SR 82 within the project limits.</w:t>
      </w:r>
    </w:p>
    <w:p w14:paraId="398F61EC" w14:textId="77777777" w:rsidR="00885D22" w:rsidRPr="0000250D" w:rsidRDefault="00885D22" w:rsidP="00885D22">
      <w:pPr>
        <w:rPr>
          <w:color w:val="800080"/>
        </w:rPr>
      </w:pPr>
      <w:r w:rsidRPr="0000250D">
        <w:rPr>
          <w:color w:val="800080"/>
        </w:rPr>
        <w:t>The Pavement Condition Survey for the project area has an overall condition rating of poor with moderate alligator cracking and very poor ride quality throughout. The current condition of the pavement contributes to higher energy consumption, i.e., shorter intervals between maintenance.</w:t>
      </w:r>
    </w:p>
    <w:p w14:paraId="1070EC86" w14:textId="77777777" w:rsidR="00885D22" w:rsidRPr="00F55396" w:rsidRDefault="00885D22" w:rsidP="005275BA">
      <w:pPr>
        <w:pStyle w:val="Heading1"/>
      </w:pPr>
      <w:r w:rsidRPr="00F55396">
        <w:t>STUDY METHODS</w:t>
      </w:r>
    </w:p>
    <w:p w14:paraId="458EAC08" w14:textId="7ED6D465" w:rsidR="00202A9A" w:rsidRPr="00202A9A" w:rsidRDefault="00202A9A" w:rsidP="00202A9A">
      <w:pPr>
        <w:rPr>
          <w:color w:val="0000FF"/>
        </w:rPr>
      </w:pPr>
      <w:r w:rsidRPr="00454D10">
        <w:rPr>
          <w:color w:val="0000FF"/>
        </w:rPr>
        <w:t>(NOTE: The following text is boilerplate language)</w:t>
      </w:r>
    </w:p>
    <w:p w14:paraId="2FEF746D" w14:textId="78EBD73D" w:rsidR="00885D22" w:rsidRPr="0000250D" w:rsidRDefault="00885D22" w:rsidP="00885D22">
      <w:pPr>
        <w:rPr>
          <w:color w:val="A50021"/>
        </w:rPr>
      </w:pPr>
      <w:r w:rsidRPr="0000250D">
        <w:rPr>
          <w:color w:val="A50021"/>
        </w:rPr>
        <w:t xml:space="preserve">Activities that consume energy also contribute to other related impacts. Greenhouse gas emissions, for example, are linked to energy consumption. In transportation, carbon dioxide (CO2) is the primary GHG pollutant due to its abundance when compared with other vehicle emitted GHGs, including methane (CH4), nitrous oxide (N20), hydrofluorocarbon (HFC), and black carbon (BC). </w:t>
      </w:r>
    </w:p>
    <w:p w14:paraId="10524EF2" w14:textId="6C341CA2" w:rsidR="00885D22" w:rsidRPr="0000250D" w:rsidRDefault="00885D22" w:rsidP="00885D22">
      <w:pPr>
        <w:rPr>
          <w:color w:val="A50021"/>
        </w:rPr>
      </w:pPr>
      <w:r w:rsidRPr="0000250D">
        <w:rPr>
          <w:color w:val="A50021"/>
        </w:rPr>
        <w:t>Therefore, direct energy consumption can be quantified by using an approved version of the emissions modeling tool CT-EMFAC or EMFAC and construction energy consumption can be estimated using the Caltrans Construction Emission Tool (CAL-CET), or the CalEEMod emissions model. If energy consumption is not quantified in the emissions modeling tool used, gasoline and diesel consumption can be estimated from CO2 using U.S. EPA’s GHG equivalencies formulas for diesel and gasoline</w:t>
      </w:r>
      <w:r w:rsidR="00881B90">
        <w:rPr>
          <w:rStyle w:val="FootnoteReference"/>
          <w:color w:val="A50021"/>
        </w:rPr>
        <w:footnoteReference w:id="1"/>
      </w:r>
      <w:r w:rsidRPr="0000250D">
        <w:rPr>
          <w:color w:val="A50021"/>
        </w:rPr>
        <w:t xml:space="preserve">. </w:t>
      </w:r>
    </w:p>
    <w:p w14:paraId="7FED6FC1" w14:textId="77777777" w:rsidR="00A41685" w:rsidRDefault="00885D22" w:rsidP="00A41685">
      <w:pPr>
        <w:spacing w:after="120"/>
        <w:rPr>
          <w:color w:val="0000FF"/>
        </w:rPr>
      </w:pPr>
      <w:r w:rsidRPr="0000250D">
        <w:rPr>
          <w:color w:val="0000FF"/>
          <w:u w:val="single"/>
        </w:rPr>
        <w:t>Instruction</w:t>
      </w:r>
      <w:r w:rsidRPr="0000250D">
        <w:rPr>
          <w:color w:val="0000FF"/>
        </w:rPr>
        <w:t>:</w:t>
      </w:r>
    </w:p>
    <w:p w14:paraId="40AB491F" w14:textId="2CD4EF4F" w:rsidR="00885D22" w:rsidRPr="0000250D" w:rsidRDefault="00885D22" w:rsidP="00885D22">
      <w:pPr>
        <w:rPr>
          <w:color w:val="0000FF"/>
        </w:rPr>
      </w:pPr>
      <w:r w:rsidRPr="0000250D">
        <w:rPr>
          <w:color w:val="0000FF"/>
        </w:rPr>
        <w:t>Describe the modeling tools used to quantify energy consumption. Make sure to indicate which approved version of modeling tool was used as appropriate. Show estimates or data/information used in comparisons for qualitative analysis. Since construction GHG analysis is required for all projects, construction energy consumption may have already been quantified.</w:t>
      </w:r>
    </w:p>
    <w:p w14:paraId="0620EE60" w14:textId="77777777" w:rsidR="00885D22" w:rsidRPr="0000250D" w:rsidRDefault="00885D22" w:rsidP="00A41685">
      <w:pPr>
        <w:spacing w:after="120"/>
        <w:rPr>
          <w:color w:val="800080"/>
        </w:rPr>
      </w:pPr>
      <w:r w:rsidRPr="0000250D">
        <w:rPr>
          <w:color w:val="800080"/>
          <w:u w:val="single"/>
        </w:rPr>
        <w:t>Example</w:t>
      </w:r>
      <w:r w:rsidRPr="0000250D">
        <w:rPr>
          <w:color w:val="800080"/>
        </w:rPr>
        <w:t>:</w:t>
      </w:r>
    </w:p>
    <w:p w14:paraId="3865909F" w14:textId="5E6EDE7F" w:rsidR="00885D22" w:rsidRPr="0000250D" w:rsidRDefault="00885D22" w:rsidP="00885D22">
      <w:pPr>
        <w:rPr>
          <w:color w:val="800080"/>
        </w:rPr>
      </w:pPr>
      <w:r w:rsidRPr="0000250D">
        <w:rPr>
          <w:color w:val="800080"/>
        </w:rPr>
        <w:t xml:space="preserve">To assess gasoline and diesel consumed by construction equipment and vehicles, </w:t>
      </w:r>
      <w:r w:rsidR="008060DA">
        <w:rPr>
          <w:color w:val="800080"/>
        </w:rPr>
        <w:t>CAL-CET</w:t>
      </w:r>
      <w:r w:rsidRPr="0000250D">
        <w:rPr>
          <w:color w:val="800080"/>
        </w:rPr>
        <w:t xml:space="preserve"> was used to estimate CO2 emissions of workers' vehicles and equipment. U.S. EPA’s GHG equivalencies formulas were used to convert CO2 to fuel volumes. This is shown in Table 1 below.</w:t>
      </w:r>
    </w:p>
    <w:p w14:paraId="1D01C54F" w14:textId="77777777" w:rsidR="00885D22" w:rsidRPr="00F55396" w:rsidRDefault="00885D22" w:rsidP="005275BA">
      <w:pPr>
        <w:pStyle w:val="Heading1"/>
      </w:pPr>
      <w:r w:rsidRPr="00F55396">
        <w:t>ENVIRONMENTAL CONSEQUENCES</w:t>
      </w:r>
    </w:p>
    <w:p w14:paraId="67FB24EA" w14:textId="6AAB4E91" w:rsidR="00885D22" w:rsidRPr="0000250D" w:rsidRDefault="00885D22" w:rsidP="00A41685">
      <w:pPr>
        <w:spacing w:after="120"/>
        <w:rPr>
          <w:color w:val="0000FF"/>
        </w:rPr>
      </w:pPr>
      <w:r w:rsidRPr="0000250D">
        <w:rPr>
          <w:color w:val="0000FF"/>
          <w:u w:val="single"/>
        </w:rPr>
        <w:t>Instruction</w:t>
      </w:r>
      <w:r w:rsidRPr="0000250D">
        <w:rPr>
          <w:color w:val="0000FF"/>
        </w:rPr>
        <w:t>:</w:t>
      </w:r>
    </w:p>
    <w:p w14:paraId="28C40E35" w14:textId="0525F504" w:rsidR="00885D22" w:rsidRDefault="00885D22" w:rsidP="00F55396">
      <w:pPr>
        <w:pStyle w:val="ListParagraph"/>
        <w:numPr>
          <w:ilvl w:val="0"/>
          <w:numId w:val="13"/>
        </w:numPr>
        <w:rPr>
          <w:color w:val="0000FF"/>
        </w:rPr>
      </w:pPr>
      <w:r w:rsidRPr="0000250D">
        <w:rPr>
          <w:color w:val="0000FF"/>
        </w:rPr>
        <w:lastRenderedPageBreak/>
        <w:t>This section presents the results of the energy analysis (of each Build alternative) and discloses potential energy effects. Results can be shown in gallons of fuel or kilowatt-hour of electricity, etc., or BTU.</w:t>
      </w:r>
    </w:p>
    <w:p w14:paraId="7389A82B" w14:textId="6EBE3B48" w:rsidR="008F0FCE" w:rsidRPr="00A0125A" w:rsidRDefault="008F0FCE" w:rsidP="00A0125A">
      <w:pPr>
        <w:pStyle w:val="TableTitle"/>
        <w:ind w:left="720"/>
        <w:rPr>
          <w:color w:val="0000FF"/>
        </w:rPr>
      </w:pPr>
      <w:bookmarkStart w:id="0" w:name="_Toc157429609"/>
      <w:r w:rsidRPr="00A0125A">
        <w:rPr>
          <w:color w:val="0000FF"/>
        </w:rPr>
        <w:t>BTU Conversions by Project Energy Type</w:t>
      </w:r>
      <w:bookmarkEnd w:id="0"/>
    </w:p>
    <w:tbl>
      <w:tblPr>
        <w:tblStyle w:val="TableGrid"/>
        <w:tblW w:w="0" w:type="auto"/>
        <w:tblInd w:w="715" w:type="dxa"/>
        <w:tblLook w:val="0020" w:firstRow="1" w:lastRow="0" w:firstColumn="0" w:lastColumn="0" w:noHBand="0" w:noVBand="0"/>
        <w:tblCaption w:val="Britsh Thermal Unit Conversions by Project Energy Type"/>
        <w:tblDescription w:val="A table that provides the energy unit and equivalent British Thermal Unit conversion for various energy types. "/>
      </w:tblPr>
      <w:tblGrid>
        <w:gridCol w:w="2160"/>
        <w:gridCol w:w="2160"/>
        <w:gridCol w:w="2150"/>
      </w:tblGrid>
      <w:tr w:rsidR="00A0125A" w:rsidRPr="00A0125A" w14:paraId="08F78F19" w14:textId="77777777" w:rsidTr="00A0125A">
        <w:trPr>
          <w:cantSplit/>
        </w:trPr>
        <w:tc>
          <w:tcPr>
            <w:tcW w:w="2160" w:type="dxa"/>
          </w:tcPr>
          <w:p w14:paraId="0361ADF0" w14:textId="77777777" w:rsidR="008F0FCE" w:rsidRPr="00A0125A" w:rsidRDefault="008F0FCE" w:rsidP="00A0125A">
            <w:pPr>
              <w:pStyle w:val="TableHeading"/>
              <w:ind w:left="160"/>
              <w:rPr>
                <w:color w:val="0000FF"/>
                <w:sz w:val="24"/>
              </w:rPr>
            </w:pPr>
            <w:r w:rsidRPr="00A0125A">
              <w:rPr>
                <w:color w:val="0000FF"/>
                <w:sz w:val="24"/>
              </w:rPr>
              <w:t>Energy Type</w:t>
            </w:r>
          </w:p>
        </w:tc>
        <w:tc>
          <w:tcPr>
            <w:tcW w:w="2160" w:type="dxa"/>
          </w:tcPr>
          <w:p w14:paraId="555A8DA1" w14:textId="77777777" w:rsidR="008F0FCE" w:rsidRPr="00A0125A" w:rsidRDefault="008F0FCE" w:rsidP="00A0125A">
            <w:pPr>
              <w:pStyle w:val="TableHeading"/>
              <w:ind w:left="160"/>
              <w:rPr>
                <w:color w:val="0000FF"/>
                <w:sz w:val="24"/>
              </w:rPr>
            </w:pPr>
            <w:r w:rsidRPr="00A0125A">
              <w:rPr>
                <w:color w:val="0000FF"/>
                <w:sz w:val="24"/>
              </w:rPr>
              <w:t>Energy Unit</w:t>
            </w:r>
          </w:p>
        </w:tc>
        <w:tc>
          <w:tcPr>
            <w:tcW w:w="2150" w:type="dxa"/>
          </w:tcPr>
          <w:p w14:paraId="0DF8483A" w14:textId="77777777" w:rsidR="008F0FCE" w:rsidRPr="00A0125A" w:rsidRDefault="008F0FCE" w:rsidP="00A0125A">
            <w:pPr>
              <w:pStyle w:val="TableHeading"/>
              <w:ind w:left="160"/>
              <w:rPr>
                <w:color w:val="0000FF"/>
                <w:sz w:val="24"/>
              </w:rPr>
            </w:pPr>
            <w:r w:rsidRPr="00A0125A">
              <w:rPr>
                <w:color w:val="0000FF"/>
                <w:sz w:val="24"/>
              </w:rPr>
              <w:t>Equivalent BTU</w:t>
            </w:r>
          </w:p>
        </w:tc>
      </w:tr>
      <w:tr w:rsidR="00A0125A" w:rsidRPr="00A0125A" w14:paraId="64D6FB8A" w14:textId="77777777" w:rsidTr="00A0125A">
        <w:trPr>
          <w:cantSplit/>
        </w:trPr>
        <w:tc>
          <w:tcPr>
            <w:tcW w:w="2160" w:type="dxa"/>
          </w:tcPr>
          <w:p w14:paraId="1C396423" w14:textId="77777777" w:rsidR="008F0FCE" w:rsidRPr="00A0125A" w:rsidRDefault="008F0FCE" w:rsidP="00A0125A">
            <w:pPr>
              <w:pStyle w:val="TableText"/>
              <w:ind w:left="160"/>
              <w:rPr>
                <w:color w:val="0000FF"/>
                <w:sz w:val="24"/>
              </w:rPr>
            </w:pPr>
            <w:r w:rsidRPr="00A0125A">
              <w:rPr>
                <w:color w:val="0000FF"/>
                <w:sz w:val="24"/>
              </w:rPr>
              <w:t>Electricity</w:t>
            </w:r>
          </w:p>
        </w:tc>
        <w:tc>
          <w:tcPr>
            <w:tcW w:w="2160" w:type="dxa"/>
          </w:tcPr>
          <w:p w14:paraId="60C35314" w14:textId="77777777" w:rsidR="008F0FCE" w:rsidRPr="00A0125A" w:rsidRDefault="008F0FCE" w:rsidP="00A0125A">
            <w:pPr>
              <w:pStyle w:val="TableText"/>
              <w:ind w:left="160"/>
              <w:rPr>
                <w:color w:val="0000FF"/>
                <w:sz w:val="24"/>
              </w:rPr>
            </w:pPr>
            <w:r w:rsidRPr="00A0125A">
              <w:rPr>
                <w:color w:val="0000FF"/>
                <w:sz w:val="24"/>
              </w:rPr>
              <w:t>kWh</w:t>
            </w:r>
          </w:p>
        </w:tc>
        <w:tc>
          <w:tcPr>
            <w:tcW w:w="2150" w:type="dxa"/>
          </w:tcPr>
          <w:p w14:paraId="4057013B" w14:textId="77777777" w:rsidR="008F0FCE" w:rsidRPr="00A0125A" w:rsidRDefault="008F0FCE" w:rsidP="00A0125A">
            <w:pPr>
              <w:pStyle w:val="TableText"/>
              <w:ind w:left="160"/>
              <w:rPr>
                <w:color w:val="0000FF"/>
                <w:sz w:val="24"/>
              </w:rPr>
            </w:pPr>
            <w:r w:rsidRPr="00A0125A">
              <w:rPr>
                <w:color w:val="0000FF"/>
                <w:sz w:val="24"/>
              </w:rPr>
              <w:t>3,412</w:t>
            </w:r>
          </w:p>
        </w:tc>
      </w:tr>
      <w:tr w:rsidR="00A0125A" w:rsidRPr="00A0125A" w14:paraId="7D52CD98" w14:textId="77777777" w:rsidTr="00A0125A">
        <w:trPr>
          <w:cantSplit/>
        </w:trPr>
        <w:tc>
          <w:tcPr>
            <w:tcW w:w="2160" w:type="dxa"/>
          </w:tcPr>
          <w:p w14:paraId="267CC56F" w14:textId="77777777" w:rsidR="008F0FCE" w:rsidRPr="00A0125A" w:rsidRDefault="008F0FCE" w:rsidP="00A0125A">
            <w:pPr>
              <w:pStyle w:val="TableText"/>
              <w:ind w:left="160"/>
              <w:rPr>
                <w:color w:val="0000FF"/>
                <w:sz w:val="24"/>
              </w:rPr>
            </w:pPr>
            <w:r w:rsidRPr="00A0125A">
              <w:rPr>
                <w:color w:val="0000FF"/>
                <w:sz w:val="24"/>
              </w:rPr>
              <w:t>Gasoline</w:t>
            </w:r>
          </w:p>
        </w:tc>
        <w:tc>
          <w:tcPr>
            <w:tcW w:w="2160" w:type="dxa"/>
          </w:tcPr>
          <w:p w14:paraId="1BAF072C" w14:textId="77777777" w:rsidR="008F0FCE" w:rsidRPr="00A0125A" w:rsidRDefault="008F0FCE" w:rsidP="00A0125A">
            <w:pPr>
              <w:pStyle w:val="TableText"/>
              <w:ind w:left="160"/>
              <w:rPr>
                <w:color w:val="0000FF"/>
                <w:sz w:val="24"/>
              </w:rPr>
            </w:pPr>
            <w:r w:rsidRPr="00A0125A">
              <w:rPr>
                <w:color w:val="0000FF"/>
                <w:sz w:val="24"/>
              </w:rPr>
              <w:t>gallon</w:t>
            </w:r>
          </w:p>
        </w:tc>
        <w:tc>
          <w:tcPr>
            <w:tcW w:w="2150" w:type="dxa"/>
          </w:tcPr>
          <w:p w14:paraId="24B2E047" w14:textId="77777777" w:rsidR="008F0FCE" w:rsidRPr="00A0125A" w:rsidRDefault="008F0FCE" w:rsidP="00A0125A">
            <w:pPr>
              <w:pStyle w:val="TableText"/>
              <w:ind w:left="160"/>
              <w:rPr>
                <w:color w:val="0000FF"/>
                <w:sz w:val="24"/>
              </w:rPr>
            </w:pPr>
            <w:r w:rsidRPr="00A0125A">
              <w:rPr>
                <w:color w:val="0000FF"/>
                <w:sz w:val="24"/>
              </w:rPr>
              <w:t>120,214</w:t>
            </w:r>
          </w:p>
        </w:tc>
      </w:tr>
      <w:tr w:rsidR="00A0125A" w:rsidRPr="00A0125A" w14:paraId="72F644DC" w14:textId="77777777" w:rsidTr="00A0125A">
        <w:trPr>
          <w:cantSplit/>
        </w:trPr>
        <w:tc>
          <w:tcPr>
            <w:tcW w:w="2160" w:type="dxa"/>
          </w:tcPr>
          <w:p w14:paraId="6CA63D32" w14:textId="77777777" w:rsidR="008F0FCE" w:rsidRPr="00A0125A" w:rsidRDefault="008F0FCE" w:rsidP="00A0125A">
            <w:pPr>
              <w:pStyle w:val="TableText"/>
              <w:ind w:left="160"/>
              <w:rPr>
                <w:color w:val="0000FF"/>
                <w:sz w:val="24"/>
              </w:rPr>
            </w:pPr>
            <w:r w:rsidRPr="00A0125A">
              <w:rPr>
                <w:color w:val="0000FF"/>
                <w:sz w:val="24"/>
              </w:rPr>
              <w:t>Diesel</w:t>
            </w:r>
          </w:p>
        </w:tc>
        <w:tc>
          <w:tcPr>
            <w:tcW w:w="2160" w:type="dxa"/>
          </w:tcPr>
          <w:p w14:paraId="4086A678" w14:textId="77777777" w:rsidR="008F0FCE" w:rsidRPr="00A0125A" w:rsidRDefault="008F0FCE" w:rsidP="00A0125A">
            <w:pPr>
              <w:pStyle w:val="TableText"/>
              <w:ind w:left="160"/>
              <w:rPr>
                <w:color w:val="0000FF"/>
                <w:sz w:val="24"/>
              </w:rPr>
            </w:pPr>
            <w:r w:rsidRPr="00A0125A">
              <w:rPr>
                <w:color w:val="0000FF"/>
                <w:sz w:val="24"/>
              </w:rPr>
              <w:t>gallon</w:t>
            </w:r>
          </w:p>
        </w:tc>
        <w:tc>
          <w:tcPr>
            <w:tcW w:w="2150" w:type="dxa"/>
          </w:tcPr>
          <w:p w14:paraId="08AD1473" w14:textId="77777777" w:rsidR="008F0FCE" w:rsidRPr="00A0125A" w:rsidRDefault="008F0FCE" w:rsidP="00A0125A">
            <w:pPr>
              <w:pStyle w:val="TableText"/>
              <w:ind w:left="160"/>
              <w:rPr>
                <w:color w:val="0000FF"/>
                <w:sz w:val="24"/>
              </w:rPr>
            </w:pPr>
            <w:r w:rsidRPr="00A0125A">
              <w:rPr>
                <w:color w:val="0000FF"/>
                <w:sz w:val="24"/>
              </w:rPr>
              <w:t>137,381</w:t>
            </w:r>
          </w:p>
        </w:tc>
      </w:tr>
    </w:tbl>
    <w:p w14:paraId="1C354E28" w14:textId="49FA26E2" w:rsidR="008F0FCE" w:rsidRPr="00A0125A" w:rsidRDefault="008F0FCE" w:rsidP="00A0125A">
      <w:pPr>
        <w:ind w:left="720"/>
        <w:rPr>
          <w:color w:val="0000FF"/>
          <w:szCs w:val="24"/>
        </w:rPr>
      </w:pPr>
      <w:bookmarkStart w:id="1" w:name="_Hlk151379532"/>
      <w:r w:rsidRPr="00A0125A">
        <w:rPr>
          <w:color w:val="0000FF"/>
          <w:szCs w:val="24"/>
        </w:rPr>
        <w:t>Source: EIA 2023c</w:t>
      </w:r>
      <w:bookmarkEnd w:id="1"/>
    </w:p>
    <w:p w14:paraId="0461E1FF" w14:textId="5DBF0DBB" w:rsidR="00885D22" w:rsidRPr="0000250D" w:rsidRDefault="00885D22" w:rsidP="00F55396">
      <w:pPr>
        <w:pStyle w:val="ListParagraph"/>
        <w:numPr>
          <w:ilvl w:val="0"/>
          <w:numId w:val="13"/>
        </w:numPr>
        <w:rPr>
          <w:color w:val="0000FF"/>
        </w:rPr>
      </w:pPr>
      <w:r w:rsidRPr="0000250D">
        <w:rPr>
          <w:color w:val="0000FF"/>
        </w:rPr>
        <w:t>This section should also include any energy-saving or conservation measures specifically incorporated into the design of the project. Refer to CEQA Guidelines, Appendix F.</w:t>
      </w:r>
    </w:p>
    <w:p w14:paraId="3A27A5D7" w14:textId="5C9E0B91" w:rsidR="00885D22" w:rsidRPr="0000250D" w:rsidRDefault="00885D22" w:rsidP="00F55396">
      <w:pPr>
        <w:pStyle w:val="ListParagraph"/>
        <w:numPr>
          <w:ilvl w:val="0"/>
          <w:numId w:val="13"/>
        </w:numPr>
        <w:rPr>
          <w:color w:val="0000FF"/>
        </w:rPr>
      </w:pPr>
      <w:r w:rsidRPr="0000250D">
        <w:rPr>
          <w:color w:val="0000FF"/>
        </w:rPr>
        <w:t>This section should also discuss any avoidance, minimization, and/or mitigation measures. Control measures to reduce GHG are applicable unless control is carbon sequestration by vegetation.</w:t>
      </w:r>
    </w:p>
    <w:p w14:paraId="1E11F768" w14:textId="77777777" w:rsidR="00885D22" w:rsidRPr="005275BA" w:rsidRDefault="00885D22" w:rsidP="005275BA">
      <w:pPr>
        <w:pStyle w:val="Heading2"/>
      </w:pPr>
      <w:r w:rsidRPr="005275BA">
        <w:t>SHORT TERM (CONSTRUCTION) ANALYSIS</w:t>
      </w:r>
    </w:p>
    <w:p w14:paraId="02C39A83" w14:textId="20A7EF33" w:rsidR="0070286D" w:rsidRPr="0000250D" w:rsidRDefault="00885D22" w:rsidP="00885D22">
      <w:pPr>
        <w:rPr>
          <w:color w:val="800080"/>
        </w:rPr>
      </w:pPr>
      <w:r w:rsidRPr="00A41685">
        <w:rPr>
          <w:color w:val="800080"/>
          <w:u w:val="single"/>
        </w:rPr>
        <w:t>Example: A quantitative analysis is shown below</w:t>
      </w:r>
      <w:r w:rsidRPr="0000250D">
        <w:rPr>
          <w:color w:val="800080"/>
        </w:rPr>
        <w:t>:</w:t>
      </w:r>
    </w:p>
    <w:p w14:paraId="38F69089" w14:textId="78D8C675" w:rsidR="00427637" w:rsidRPr="0000250D" w:rsidRDefault="00427637" w:rsidP="00427637">
      <w:pPr>
        <w:pStyle w:val="Caption"/>
        <w:keepNext/>
        <w:rPr>
          <w:b/>
          <w:bCs/>
          <w:i w:val="0"/>
          <w:iCs w:val="0"/>
          <w:color w:val="800080"/>
          <w:sz w:val="24"/>
          <w:szCs w:val="24"/>
        </w:rPr>
      </w:pPr>
      <w:r w:rsidRPr="0000250D">
        <w:rPr>
          <w:b/>
          <w:bCs/>
          <w:i w:val="0"/>
          <w:iCs w:val="0"/>
          <w:color w:val="800080"/>
          <w:sz w:val="24"/>
          <w:szCs w:val="24"/>
        </w:rPr>
        <w:t xml:space="preserve">Table </w:t>
      </w:r>
      <w:r w:rsidRPr="0000250D">
        <w:rPr>
          <w:b/>
          <w:bCs/>
          <w:i w:val="0"/>
          <w:iCs w:val="0"/>
          <w:color w:val="800080"/>
          <w:sz w:val="24"/>
          <w:szCs w:val="24"/>
        </w:rPr>
        <w:fldChar w:fldCharType="begin"/>
      </w:r>
      <w:r w:rsidRPr="0000250D">
        <w:rPr>
          <w:b/>
          <w:bCs/>
          <w:i w:val="0"/>
          <w:iCs w:val="0"/>
          <w:color w:val="800080"/>
          <w:sz w:val="24"/>
          <w:szCs w:val="24"/>
        </w:rPr>
        <w:instrText xml:space="preserve"> SEQ Table \* ARABIC </w:instrText>
      </w:r>
      <w:r w:rsidRPr="0000250D">
        <w:rPr>
          <w:b/>
          <w:bCs/>
          <w:i w:val="0"/>
          <w:iCs w:val="0"/>
          <w:color w:val="800080"/>
          <w:sz w:val="24"/>
          <w:szCs w:val="24"/>
        </w:rPr>
        <w:fldChar w:fldCharType="separate"/>
      </w:r>
      <w:r w:rsidR="006C5D3A" w:rsidRPr="0000250D">
        <w:rPr>
          <w:b/>
          <w:bCs/>
          <w:i w:val="0"/>
          <w:iCs w:val="0"/>
          <w:noProof/>
          <w:color w:val="800080"/>
          <w:sz w:val="24"/>
          <w:szCs w:val="24"/>
        </w:rPr>
        <w:t>1</w:t>
      </w:r>
      <w:r w:rsidRPr="0000250D">
        <w:rPr>
          <w:b/>
          <w:bCs/>
          <w:i w:val="0"/>
          <w:iCs w:val="0"/>
          <w:color w:val="800080"/>
          <w:sz w:val="24"/>
          <w:szCs w:val="24"/>
        </w:rPr>
        <w:fldChar w:fldCharType="end"/>
      </w:r>
      <w:r w:rsidRPr="0000250D">
        <w:rPr>
          <w:b/>
          <w:bCs/>
          <w:i w:val="0"/>
          <w:iCs w:val="0"/>
          <w:color w:val="800080"/>
          <w:sz w:val="24"/>
          <w:szCs w:val="24"/>
        </w:rPr>
        <w:t>: Construction Equipment/Vehicles Fuel Consumption</w:t>
      </w:r>
    </w:p>
    <w:tbl>
      <w:tblPr>
        <w:tblStyle w:val="TableGrid"/>
        <w:tblW w:w="0" w:type="auto"/>
        <w:tblLook w:val="04A0" w:firstRow="1" w:lastRow="0" w:firstColumn="1" w:lastColumn="0" w:noHBand="0" w:noVBand="1"/>
      </w:tblPr>
      <w:tblGrid>
        <w:gridCol w:w="3116"/>
        <w:gridCol w:w="3117"/>
        <w:gridCol w:w="3117"/>
      </w:tblGrid>
      <w:tr w:rsidR="0000250D" w:rsidRPr="00DA590E" w14:paraId="4F7713D1" w14:textId="77777777" w:rsidTr="00DA590E">
        <w:tc>
          <w:tcPr>
            <w:tcW w:w="3116" w:type="dxa"/>
            <w:shd w:val="clear" w:color="auto" w:fill="auto"/>
            <w:vAlign w:val="center"/>
          </w:tcPr>
          <w:p w14:paraId="19AED8CF" w14:textId="6E9433B8" w:rsidR="00427637" w:rsidRPr="00DA590E" w:rsidRDefault="00427637" w:rsidP="00F55396">
            <w:pPr>
              <w:spacing w:before="20" w:after="20"/>
              <w:jc w:val="center"/>
              <w:rPr>
                <w:b/>
                <w:bCs/>
                <w:color w:val="800080"/>
                <w:sz w:val="22"/>
              </w:rPr>
            </w:pPr>
            <w:r w:rsidRPr="00DA590E">
              <w:rPr>
                <w:b/>
                <w:bCs/>
                <w:color w:val="800080"/>
                <w:sz w:val="22"/>
              </w:rPr>
              <w:t>ALL BUILD ALTERNATIVES</w:t>
            </w:r>
          </w:p>
        </w:tc>
        <w:tc>
          <w:tcPr>
            <w:tcW w:w="3117" w:type="dxa"/>
            <w:shd w:val="clear" w:color="auto" w:fill="auto"/>
            <w:vAlign w:val="center"/>
          </w:tcPr>
          <w:p w14:paraId="2CCF3855" w14:textId="0AAD334D" w:rsidR="00427637" w:rsidRPr="00DA590E" w:rsidRDefault="00427637" w:rsidP="00F55396">
            <w:pPr>
              <w:spacing w:before="20" w:after="20"/>
              <w:jc w:val="center"/>
              <w:rPr>
                <w:b/>
                <w:bCs/>
                <w:color w:val="800080"/>
                <w:sz w:val="22"/>
              </w:rPr>
            </w:pPr>
            <w:r w:rsidRPr="00DA590E">
              <w:rPr>
                <w:b/>
                <w:bCs/>
                <w:color w:val="800080"/>
                <w:sz w:val="22"/>
              </w:rPr>
              <w:t>FUEL CONSUMPTION</w:t>
            </w:r>
          </w:p>
          <w:p w14:paraId="63C03099" w14:textId="24B0F1CB" w:rsidR="00427637" w:rsidRPr="00DA590E" w:rsidRDefault="00427637" w:rsidP="00F55396">
            <w:pPr>
              <w:spacing w:before="20" w:after="20"/>
              <w:jc w:val="center"/>
              <w:rPr>
                <w:b/>
                <w:bCs/>
                <w:color w:val="800080"/>
                <w:sz w:val="22"/>
              </w:rPr>
            </w:pPr>
            <w:r w:rsidRPr="00DA590E">
              <w:rPr>
                <w:b/>
                <w:bCs/>
                <w:color w:val="800080"/>
                <w:sz w:val="22"/>
              </w:rPr>
              <w:t>DIESEL (gallons)</w:t>
            </w:r>
          </w:p>
        </w:tc>
        <w:tc>
          <w:tcPr>
            <w:tcW w:w="3117" w:type="dxa"/>
            <w:shd w:val="clear" w:color="auto" w:fill="auto"/>
            <w:vAlign w:val="center"/>
          </w:tcPr>
          <w:p w14:paraId="7C74EA8C" w14:textId="3195D96E" w:rsidR="00427637" w:rsidRPr="00DA590E" w:rsidRDefault="00427637" w:rsidP="00F55396">
            <w:pPr>
              <w:spacing w:before="20" w:after="20"/>
              <w:jc w:val="center"/>
              <w:rPr>
                <w:b/>
                <w:bCs/>
                <w:color w:val="800080"/>
                <w:sz w:val="22"/>
              </w:rPr>
            </w:pPr>
            <w:r w:rsidRPr="00DA590E">
              <w:rPr>
                <w:b/>
                <w:bCs/>
                <w:color w:val="800080"/>
                <w:sz w:val="22"/>
              </w:rPr>
              <w:t>FUEL CONSUMPTION</w:t>
            </w:r>
          </w:p>
          <w:p w14:paraId="5F154EA6" w14:textId="2C570754" w:rsidR="00427637" w:rsidRPr="00DA590E" w:rsidRDefault="00427637" w:rsidP="00F55396">
            <w:pPr>
              <w:spacing w:before="20" w:after="20"/>
              <w:jc w:val="center"/>
              <w:rPr>
                <w:b/>
                <w:bCs/>
                <w:color w:val="800080"/>
                <w:sz w:val="22"/>
              </w:rPr>
            </w:pPr>
            <w:r w:rsidRPr="00DA590E">
              <w:rPr>
                <w:b/>
                <w:bCs/>
                <w:color w:val="800080"/>
                <w:sz w:val="22"/>
              </w:rPr>
              <w:t>GASOLINE (gallons)</w:t>
            </w:r>
          </w:p>
        </w:tc>
      </w:tr>
      <w:tr w:rsidR="0000250D" w:rsidRPr="00DA590E" w14:paraId="3BF098FD" w14:textId="77777777" w:rsidTr="00F55396">
        <w:tc>
          <w:tcPr>
            <w:tcW w:w="3116" w:type="dxa"/>
            <w:vAlign w:val="center"/>
          </w:tcPr>
          <w:p w14:paraId="264006C7" w14:textId="4D899D77" w:rsidR="00427637" w:rsidRPr="00DA590E" w:rsidRDefault="00427637" w:rsidP="00F55396">
            <w:pPr>
              <w:spacing w:before="20" w:after="20"/>
              <w:jc w:val="center"/>
              <w:rPr>
                <w:color w:val="800080"/>
                <w:sz w:val="22"/>
              </w:rPr>
            </w:pPr>
            <w:r w:rsidRPr="00DA590E">
              <w:rPr>
                <w:color w:val="800080"/>
                <w:sz w:val="22"/>
              </w:rPr>
              <w:t>ANNUAL</w:t>
            </w:r>
          </w:p>
        </w:tc>
        <w:tc>
          <w:tcPr>
            <w:tcW w:w="3117" w:type="dxa"/>
            <w:vAlign w:val="center"/>
          </w:tcPr>
          <w:p w14:paraId="0150CF92" w14:textId="336AC88E" w:rsidR="00427637" w:rsidRPr="00DA590E" w:rsidRDefault="00427637" w:rsidP="00F55396">
            <w:pPr>
              <w:spacing w:before="20" w:after="20"/>
              <w:jc w:val="center"/>
              <w:rPr>
                <w:color w:val="800080"/>
                <w:sz w:val="22"/>
              </w:rPr>
            </w:pPr>
            <w:r w:rsidRPr="00DA590E">
              <w:rPr>
                <w:color w:val="800080"/>
                <w:sz w:val="22"/>
              </w:rPr>
              <w:t>39,282.20</w:t>
            </w:r>
          </w:p>
        </w:tc>
        <w:tc>
          <w:tcPr>
            <w:tcW w:w="3117" w:type="dxa"/>
            <w:vAlign w:val="center"/>
          </w:tcPr>
          <w:p w14:paraId="1437CE43" w14:textId="229CBFC3" w:rsidR="00427637" w:rsidRPr="00DA590E" w:rsidRDefault="00427637" w:rsidP="00F55396">
            <w:pPr>
              <w:spacing w:before="20" w:after="20"/>
              <w:jc w:val="center"/>
              <w:rPr>
                <w:color w:val="800080"/>
                <w:sz w:val="22"/>
              </w:rPr>
            </w:pPr>
            <w:r w:rsidRPr="00DA590E">
              <w:rPr>
                <w:color w:val="800080"/>
                <w:sz w:val="22"/>
              </w:rPr>
              <w:t>1,347.58</w:t>
            </w:r>
          </w:p>
        </w:tc>
      </w:tr>
      <w:tr w:rsidR="0000250D" w:rsidRPr="00DA590E" w14:paraId="10956BDC" w14:textId="77777777" w:rsidTr="00F55396">
        <w:tc>
          <w:tcPr>
            <w:tcW w:w="3116" w:type="dxa"/>
            <w:vAlign w:val="center"/>
          </w:tcPr>
          <w:p w14:paraId="1829ED2E" w14:textId="72755CF3" w:rsidR="00427637" w:rsidRPr="00DA590E" w:rsidRDefault="00427637" w:rsidP="00F55396">
            <w:pPr>
              <w:spacing w:before="20" w:after="20"/>
              <w:jc w:val="center"/>
              <w:rPr>
                <w:color w:val="800080"/>
                <w:sz w:val="22"/>
              </w:rPr>
            </w:pPr>
            <w:r w:rsidRPr="00DA590E">
              <w:rPr>
                <w:color w:val="800080"/>
                <w:sz w:val="22"/>
              </w:rPr>
              <w:t>PROJECT TOTAL</w:t>
            </w:r>
          </w:p>
        </w:tc>
        <w:tc>
          <w:tcPr>
            <w:tcW w:w="3117" w:type="dxa"/>
            <w:vAlign w:val="center"/>
          </w:tcPr>
          <w:p w14:paraId="1B7CAF9E" w14:textId="1B7BD090" w:rsidR="00427637" w:rsidRPr="00DA590E" w:rsidRDefault="00427637" w:rsidP="00F55396">
            <w:pPr>
              <w:spacing w:before="20" w:after="20"/>
              <w:jc w:val="center"/>
              <w:rPr>
                <w:color w:val="800080"/>
                <w:sz w:val="22"/>
              </w:rPr>
            </w:pPr>
            <w:r w:rsidRPr="00DA590E">
              <w:rPr>
                <w:color w:val="800080"/>
                <w:sz w:val="22"/>
              </w:rPr>
              <w:t>117,846.60</w:t>
            </w:r>
          </w:p>
        </w:tc>
        <w:tc>
          <w:tcPr>
            <w:tcW w:w="3117" w:type="dxa"/>
            <w:vAlign w:val="center"/>
          </w:tcPr>
          <w:p w14:paraId="1969F2D4" w14:textId="77FCE892" w:rsidR="00427637" w:rsidRPr="00DA590E" w:rsidRDefault="00427637" w:rsidP="00F55396">
            <w:pPr>
              <w:spacing w:before="20" w:after="20"/>
              <w:jc w:val="center"/>
              <w:rPr>
                <w:color w:val="800080"/>
                <w:sz w:val="22"/>
              </w:rPr>
            </w:pPr>
            <w:r w:rsidRPr="00DA590E">
              <w:rPr>
                <w:color w:val="800080"/>
                <w:sz w:val="22"/>
              </w:rPr>
              <w:t>4,042.74</w:t>
            </w:r>
          </w:p>
        </w:tc>
      </w:tr>
    </w:tbl>
    <w:p w14:paraId="6590321F" w14:textId="00317A84" w:rsidR="00427637" w:rsidRPr="0000250D" w:rsidRDefault="00427637" w:rsidP="00F55396">
      <w:pPr>
        <w:spacing w:before="240"/>
        <w:rPr>
          <w:color w:val="800080"/>
        </w:rPr>
      </w:pPr>
      <w:r w:rsidRPr="0000250D">
        <w:rPr>
          <w:color w:val="800080"/>
        </w:rPr>
        <w:t>Note: The project Build alternatives have the same activities with small differences in construction energy consumption.</w:t>
      </w:r>
    </w:p>
    <w:p w14:paraId="3E6722AF" w14:textId="77777777" w:rsidR="00DD52E5" w:rsidRPr="0000250D" w:rsidRDefault="00DD52E5" w:rsidP="00DD52E5">
      <w:pPr>
        <w:rPr>
          <w:color w:val="800080"/>
        </w:rPr>
      </w:pPr>
      <w:r w:rsidRPr="0000250D">
        <w:rPr>
          <w:color w:val="800080"/>
        </w:rPr>
        <w:t>The No Build Alternative will not involve construction and therefore will not result in construction energy consumption.</w:t>
      </w:r>
    </w:p>
    <w:p w14:paraId="15AA706A" w14:textId="77777777" w:rsidR="00DD52E5" w:rsidRPr="0000250D" w:rsidRDefault="00DD52E5" w:rsidP="00DD52E5">
      <w:pPr>
        <w:rPr>
          <w:color w:val="800080"/>
        </w:rPr>
      </w:pPr>
      <w:r w:rsidRPr="0000250D">
        <w:rPr>
          <w:color w:val="800080"/>
        </w:rPr>
        <w:t>For the Build Alternative, there will be different phases in construction and energy use will be dependent on construction equipment being used per activity, but the average annual consumption will be approximately the same for the 3-year project span. From Table 1, for a construction duration of 36 months, the estimated total diesel consumption is 117,846.60 gallons and total gasoline consumption is 4,042.74 gallons.</w:t>
      </w:r>
    </w:p>
    <w:p w14:paraId="46A74802" w14:textId="77777777" w:rsidR="00DD52E5" w:rsidRPr="0000250D" w:rsidRDefault="00DD52E5" w:rsidP="00DD52E5">
      <w:pPr>
        <w:rPr>
          <w:color w:val="800080"/>
        </w:rPr>
      </w:pPr>
      <w:r w:rsidRPr="0000250D">
        <w:rPr>
          <w:color w:val="800080"/>
        </w:rPr>
        <w:t xml:space="preserve">Because construction activities are short-term, the increase of consumption within the project area will also be short-term. The use of construction best management practices </w:t>
      </w:r>
      <w:r w:rsidRPr="0000250D">
        <w:rPr>
          <w:color w:val="800080"/>
        </w:rPr>
        <w:lastRenderedPageBreak/>
        <w:t>will minimize energy consumption from construction activities, including but not limited to:</w:t>
      </w:r>
    </w:p>
    <w:p w14:paraId="1A8242BB" w14:textId="3CFE1366" w:rsidR="00DD52E5" w:rsidRPr="0000250D" w:rsidRDefault="00DD52E5" w:rsidP="007C5CF8">
      <w:pPr>
        <w:pStyle w:val="ListParagraph"/>
        <w:numPr>
          <w:ilvl w:val="0"/>
          <w:numId w:val="11"/>
        </w:numPr>
        <w:ind w:left="720" w:hanging="360"/>
        <w:rPr>
          <w:color w:val="800080"/>
        </w:rPr>
      </w:pPr>
      <w:r w:rsidRPr="0000250D">
        <w:rPr>
          <w:color w:val="800080"/>
        </w:rPr>
        <w:t>Limit idling of vehicles and equipment</w:t>
      </w:r>
      <w:r w:rsidR="00587A78">
        <w:rPr>
          <w:color w:val="800080"/>
        </w:rPr>
        <w:t>.</w:t>
      </w:r>
    </w:p>
    <w:p w14:paraId="1246B6C9" w14:textId="7A3B0120" w:rsidR="00DD52E5" w:rsidRPr="0000250D" w:rsidRDefault="00DD52E5" w:rsidP="007C5CF8">
      <w:pPr>
        <w:pStyle w:val="ListParagraph"/>
        <w:numPr>
          <w:ilvl w:val="0"/>
          <w:numId w:val="11"/>
        </w:numPr>
        <w:ind w:left="720" w:hanging="360"/>
        <w:rPr>
          <w:color w:val="800080"/>
        </w:rPr>
      </w:pPr>
      <w:r w:rsidRPr="0000250D">
        <w:rPr>
          <w:color w:val="800080"/>
        </w:rPr>
        <w:t>Using solar-powered equipment, if feasible (example - signal boards)</w:t>
      </w:r>
      <w:r w:rsidR="00587A78">
        <w:rPr>
          <w:color w:val="800080"/>
        </w:rPr>
        <w:t>.</w:t>
      </w:r>
    </w:p>
    <w:p w14:paraId="3DDEEEFF" w14:textId="73F3F54A" w:rsidR="00DD52E5" w:rsidRPr="0000250D" w:rsidRDefault="00DD52E5" w:rsidP="007C5CF8">
      <w:pPr>
        <w:pStyle w:val="ListParagraph"/>
        <w:numPr>
          <w:ilvl w:val="0"/>
          <w:numId w:val="11"/>
        </w:numPr>
        <w:ind w:left="720" w:hanging="360"/>
        <w:rPr>
          <w:color w:val="800080"/>
        </w:rPr>
      </w:pPr>
      <w:r w:rsidRPr="0000250D">
        <w:rPr>
          <w:color w:val="800080"/>
        </w:rPr>
        <w:t>Use of tier 4 equipment</w:t>
      </w:r>
      <w:r w:rsidR="00587A78">
        <w:rPr>
          <w:color w:val="800080"/>
        </w:rPr>
        <w:t>.</w:t>
      </w:r>
    </w:p>
    <w:p w14:paraId="2C838C66" w14:textId="5929FD8A" w:rsidR="00DD52E5" w:rsidRPr="0000250D" w:rsidRDefault="00DD52E5" w:rsidP="007C5CF8">
      <w:pPr>
        <w:pStyle w:val="ListParagraph"/>
        <w:numPr>
          <w:ilvl w:val="0"/>
          <w:numId w:val="11"/>
        </w:numPr>
        <w:ind w:left="720" w:hanging="360"/>
        <w:rPr>
          <w:color w:val="800080"/>
        </w:rPr>
      </w:pPr>
      <w:r w:rsidRPr="0000250D">
        <w:rPr>
          <w:color w:val="800080"/>
        </w:rPr>
        <w:t>Regular vehicle and equipment maintenance</w:t>
      </w:r>
      <w:r w:rsidR="00587A78">
        <w:rPr>
          <w:color w:val="800080"/>
        </w:rPr>
        <w:t>.</w:t>
      </w:r>
    </w:p>
    <w:p w14:paraId="4DADDDC6" w14:textId="11CF5EDA" w:rsidR="00DD52E5" w:rsidRPr="0000250D" w:rsidRDefault="00DD52E5" w:rsidP="007C5CF8">
      <w:pPr>
        <w:pStyle w:val="ListParagraph"/>
        <w:numPr>
          <w:ilvl w:val="0"/>
          <w:numId w:val="11"/>
        </w:numPr>
        <w:ind w:left="720" w:hanging="360"/>
        <w:rPr>
          <w:color w:val="800080"/>
        </w:rPr>
      </w:pPr>
      <w:r w:rsidRPr="0000250D">
        <w:rPr>
          <w:color w:val="800080"/>
        </w:rPr>
        <w:t>If feasible, recycle non-hazardous waste and excess materials to reduce disposal offsite.</w:t>
      </w:r>
    </w:p>
    <w:p w14:paraId="2221E207" w14:textId="77777777" w:rsidR="00DD52E5" w:rsidRPr="0000250D" w:rsidRDefault="00DD52E5" w:rsidP="00DD52E5">
      <w:pPr>
        <w:rPr>
          <w:color w:val="800080"/>
        </w:rPr>
      </w:pPr>
      <w:r w:rsidRPr="0000250D">
        <w:rPr>
          <w:color w:val="800080"/>
        </w:rPr>
        <w:t>In addition, with innovations such as longer pavement lives, improvement in traffic management, and changes in materials, energy consumption can be offset to some degree by longer intervals between maintenance and rehabilitation activities, and other project features discussed below.</w:t>
      </w:r>
    </w:p>
    <w:p w14:paraId="6AB2A473" w14:textId="77777777" w:rsidR="00DD52E5" w:rsidRPr="00F55396" w:rsidRDefault="00DD52E5" w:rsidP="005275BA">
      <w:pPr>
        <w:pStyle w:val="Heading2"/>
      </w:pPr>
      <w:r w:rsidRPr="00F55396">
        <w:t>LONG TERM (OPERATIONS) ANALYSIS</w:t>
      </w:r>
    </w:p>
    <w:p w14:paraId="625BB18F" w14:textId="77777777" w:rsidR="00DD52E5" w:rsidRPr="0000250D" w:rsidRDefault="00DD52E5" w:rsidP="00DD52E5">
      <w:pPr>
        <w:rPr>
          <w:color w:val="800080"/>
        </w:rPr>
      </w:pPr>
      <w:r w:rsidRPr="0000250D">
        <w:rPr>
          <w:color w:val="800080"/>
          <w:u w:val="single"/>
        </w:rPr>
        <w:t>Example 1</w:t>
      </w:r>
      <w:r w:rsidRPr="00DA590E">
        <w:rPr>
          <w:color w:val="800080"/>
          <w:u w:val="single"/>
        </w:rPr>
        <w:t>: A project with no capacity increase nor congestion reduction, qualitative analysis is shown below</w:t>
      </w:r>
      <w:r w:rsidRPr="0000250D">
        <w:rPr>
          <w:color w:val="800080"/>
        </w:rPr>
        <w:t>: In this example, maintenance (indirect) is included in the discussion.</w:t>
      </w:r>
    </w:p>
    <w:p w14:paraId="72B7965C" w14:textId="77777777" w:rsidR="00DD52E5" w:rsidRPr="0000250D" w:rsidRDefault="00DD52E5" w:rsidP="00DD52E5">
      <w:pPr>
        <w:rPr>
          <w:color w:val="800080"/>
        </w:rPr>
      </w:pPr>
      <w:r w:rsidRPr="0000250D">
        <w:rPr>
          <w:color w:val="800080"/>
        </w:rPr>
        <w:t xml:space="preserve">The project proposes to rehabilitate the roadway and will not increase capacity nor relieve congestion. As such, this project will not result in changes in traffic volumes, vehicle mix, or any other factor that would cause an increase in energy consumption of the project from that of the No-Build Alternative. </w:t>
      </w:r>
    </w:p>
    <w:p w14:paraId="08103858" w14:textId="77777777" w:rsidR="00DD52E5" w:rsidRPr="0000250D" w:rsidRDefault="00DD52E5" w:rsidP="00DD52E5">
      <w:pPr>
        <w:rPr>
          <w:color w:val="800080"/>
        </w:rPr>
      </w:pPr>
      <w:r w:rsidRPr="0000250D">
        <w:rPr>
          <w:color w:val="800080"/>
        </w:rPr>
        <w:t>All the build alternatives have project features that can reduce energy consumption, namely:</w:t>
      </w:r>
    </w:p>
    <w:p w14:paraId="714E3140" w14:textId="76C40DE7" w:rsidR="00DD52E5" w:rsidRPr="0000250D" w:rsidRDefault="00DD52E5" w:rsidP="007C5CF8">
      <w:pPr>
        <w:pStyle w:val="ListParagraph"/>
        <w:numPr>
          <w:ilvl w:val="0"/>
          <w:numId w:val="10"/>
        </w:numPr>
        <w:ind w:left="720" w:hanging="360"/>
        <w:rPr>
          <w:color w:val="800080"/>
        </w:rPr>
      </w:pPr>
      <w:r w:rsidRPr="0000250D">
        <w:rPr>
          <w:color w:val="800080"/>
        </w:rPr>
        <w:t xml:space="preserve">Sidewalk (width, </w:t>
      </w:r>
      <w:proofErr w:type="gramStart"/>
      <w:r w:rsidRPr="0000250D">
        <w:rPr>
          <w:color w:val="800080"/>
        </w:rPr>
        <w:t>profile</w:t>
      </w:r>
      <w:proofErr w:type="gramEnd"/>
      <w:r w:rsidRPr="0000250D">
        <w:rPr>
          <w:color w:val="800080"/>
        </w:rPr>
        <w:t xml:space="preserve"> and cross slope), curb (ramp slope, landing and detectable warning surface) and crosswalk (profile and cross slope) will be corrected. Accessible pedestrian signals (APS) and timers will be installed. These features will promote pedestrian access.</w:t>
      </w:r>
    </w:p>
    <w:p w14:paraId="5FC467AC" w14:textId="56FE7310" w:rsidR="00DD52E5" w:rsidRPr="0000250D" w:rsidRDefault="00DD52E5" w:rsidP="007C5CF8">
      <w:pPr>
        <w:pStyle w:val="ListParagraph"/>
        <w:numPr>
          <w:ilvl w:val="0"/>
          <w:numId w:val="10"/>
        </w:numPr>
        <w:ind w:left="720" w:hanging="360"/>
        <w:rPr>
          <w:color w:val="800080"/>
        </w:rPr>
      </w:pPr>
      <w:r w:rsidRPr="0000250D">
        <w:rPr>
          <w:color w:val="800080"/>
        </w:rPr>
        <w:t>Rehabilitation of pavement and improvement in traffic management will lengthen intervals between maintenance activities. Energy used on maintenance of SR 82 for both build alternatives will be lesser than the no-build alternative.</w:t>
      </w:r>
    </w:p>
    <w:p w14:paraId="419698FE" w14:textId="77777777" w:rsidR="00DD52E5" w:rsidRPr="0000250D" w:rsidRDefault="00DD52E5" w:rsidP="00DD52E5">
      <w:pPr>
        <w:rPr>
          <w:color w:val="800080"/>
        </w:rPr>
      </w:pPr>
      <w:r w:rsidRPr="0000250D">
        <w:rPr>
          <w:color w:val="800080"/>
          <w:u w:val="single"/>
        </w:rPr>
        <w:t>Example 2</w:t>
      </w:r>
      <w:r w:rsidRPr="00DA590E">
        <w:rPr>
          <w:color w:val="800080"/>
          <w:u w:val="single"/>
        </w:rPr>
        <w:t>: A capacity increasing project and quantitative analysis is shown below</w:t>
      </w:r>
      <w:r w:rsidRPr="0000250D">
        <w:rPr>
          <w:color w:val="800080"/>
        </w:rPr>
        <w:t xml:space="preserve">: </w:t>
      </w:r>
    </w:p>
    <w:p w14:paraId="0535D048" w14:textId="2031CAAD" w:rsidR="00DD52E5" w:rsidRPr="0000250D" w:rsidRDefault="00DD52E5" w:rsidP="00DD52E5">
      <w:pPr>
        <w:rPr>
          <w:color w:val="800080"/>
        </w:rPr>
      </w:pPr>
      <w:r w:rsidRPr="0000250D">
        <w:rPr>
          <w:color w:val="800080"/>
        </w:rPr>
        <w:t>To assess fuel consumed by construction equipment and vehicles, CT-EMFAC2017 was used to estimate fuel consumption. This is shown in Table 2 below.</w:t>
      </w:r>
    </w:p>
    <w:p w14:paraId="69BA1C95" w14:textId="77777777" w:rsidR="00DD52E5" w:rsidRDefault="00DD52E5" w:rsidP="00DD52E5">
      <w:pPr>
        <w:sectPr w:rsidR="00DD52E5" w:rsidSect="002442EA">
          <w:footerReference w:type="default" r:id="rId8"/>
          <w:headerReference w:type="first" r:id="rId9"/>
          <w:footerReference w:type="first" r:id="rId10"/>
          <w:pgSz w:w="12240" w:h="15840"/>
          <w:pgMar w:top="1440" w:right="1440" w:bottom="1440" w:left="1440" w:header="630" w:footer="720" w:gutter="0"/>
          <w:cols w:space="720"/>
          <w:docGrid w:linePitch="360"/>
        </w:sectPr>
      </w:pPr>
    </w:p>
    <w:p w14:paraId="3C31FC8B" w14:textId="637F88EF" w:rsidR="006C5D3A" w:rsidRPr="006C5D3A" w:rsidRDefault="006C5D3A" w:rsidP="006C5D3A">
      <w:pPr>
        <w:pStyle w:val="Caption"/>
        <w:keepNext/>
        <w:rPr>
          <w:b/>
          <w:bCs/>
          <w:i w:val="0"/>
          <w:iCs w:val="0"/>
          <w:color w:val="auto"/>
          <w:sz w:val="24"/>
          <w:szCs w:val="24"/>
        </w:rPr>
      </w:pPr>
      <w:r w:rsidRPr="006C5D3A">
        <w:rPr>
          <w:b/>
          <w:bCs/>
          <w:i w:val="0"/>
          <w:iCs w:val="0"/>
          <w:color w:val="auto"/>
          <w:sz w:val="24"/>
          <w:szCs w:val="24"/>
        </w:rPr>
        <w:lastRenderedPageBreak/>
        <w:t xml:space="preserve">Table </w:t>
      </w:r>
      <w:r w:rsidRPr="006C5D3A">
        <w:rPr>
          <w:b/>
          <w:bCs/>
          <w:i w:val="0"/>
          <w:iCs w:val="0"/>
          <w:color w:val="auto"/>
          <w:sz w:val="24"/>
          <w:szCs w:val="24"/>
        </w:rPr>
        <w:fldChar w:fldCharType="begin"/>
      </w:r>
      <w:r w:rsidRPr="006C5D3A">
        <w:rPr>
          <w:b/>
          <w:bCs/>
          <w:i w:val="0"/>
          <w:iCs w:val="0"/>
          <w:color w:val="auto"/>
          <w:sz w:val="24"/>
          <w:szCs w:val="24"/>
        </w:rPr>
        <w:instrText xml:space="preserve"> SEQ Table \* ARABIC </w:instrText>
      </w:r>
      <w:r w:rsidRPr="006C5D3A">
        <w:rPr>
          <w:b/>
          <w:bCs/>
          <w:i w:val="0"/>
          <w:iCs w:val="0"/>
          <w:color w:val="auto"/>
          <w:sz w:val="24"/>
          <w:szCs w:val="24"/>
        </w:rPr>
        <w:fldChar w:fldCharType="separate"/>
      </w:r>
      <w:r w:rsidRPr="006C5D3A">
        <w:rPr>
          <w:b/>
          <w:bCs/>
          <w:i w:val="0"/>
          <w:iCs w:val="0"/>
          <w:noProof/>
          <w:color w:val="auto"/>
          <w:sz w:val="24"/>
          <w:szCs w:val="24"/>
        </w:rPr>
        <w:t>2</w:t>
      </w:r>
      <w:r w:rsidRPr="006C5D3A">
        <w:rPr>
          <w:b/>
          <w:bCs/>
          <w:i w:val="0"/>
          <w:iCs w:val="0"/>
          <w:color w:val="auto"/>
          <w:sz w:val="24"/>
          <w:szCs w:val="24"/>
        </w:rPr>
        <w:fldChar w:fldCharType="end"/>
      </w:r>
      <w:r w:rsidRPr="006C5D3A">
        <w:rPr>
          <w:b/>
          <w:bCs/>
          <w:i w:val="0"/>
          <w:iCs w:val="0"/>
          <w:color w:val="auto"/>
          <w:sz w:val="24"/>
          <w:szCs w:val="24"/>
        </w:rPr>
        <w:t>: Annual Fuel Consumption (Direct Energy)</w:t>
      </w:r>
    </w:p>
    <w:tbl>
      <w:tblPr>
        <w:tblStyle w:val="TableGrid"/>
        <w:tblW w:w="12952" w:type="dxa"/>
        <w:jc w:val="center"/>
        <w:tblLook w:val="04A0" w:firstRow="1" w:lastRow="0" w:firstColumn="1" w:lastColumn="0" w:noHBand="0" w:noVBand="1"/>
      </w:tblPr>
      <w:tblGrid>
        <w:gridCol w:w="1954"/>
        <w:gridCol w:w="1550"/>
        <w:gridCol w:w="1634"/>
        <w:gridCol w:w="1634"/>
        <w:gridCol w:w="1505"/>
        <w:gridCol w:w="1528"/>
        <w:gridCol w:w="1620"/>
        <w:gridCol w:w="1527"/>
      </w:tblGrid>
      <w:tr w:rsidR="0000250D" w:rsidRPr="00796568" w14:paraId="5EF68A88" w14:textId="77777777" w:rsidTr="00796568">
        <w:trPr>
          <w:cantSplit/>
          <w:tblHeader/>
          <w:jc w:val="center"/>
        </w:trPr>
        <w:tc>
          <w:tcPr>
            <w:tcW w:w="1954" w:type="dxa"/>
            <w:shd w:val="clear" w:color="auto" w:fill="auto"/>
            <w:vAlign w:val="center"/>
          </w:tcPr>
          <w:p w14:paraId="44F17CA8" w14:textId="64AFEBA7" w:rsidR="00B15C3F"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Scenario/ Analysis Year</w:t>
            </w:r>
          </w:p>
        </w:tc>
        <w:tc>
          <w:tcPr>
            <w:tcW w:w="1550" w:type="dxa"/>
            <w:shd w:val="clear" w:color="auto" w:fill="auto"/>
            <w:vAlign w:val="center"/>
          </w:tcPr>
          <w:p w14:paraId="6205F028" w14:textId="4717D464" w:rsidR="001E20DC"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Energy Consumption</w:t>
            </w:r>
            <w:r w:rsidR="00796568" w:rsidRPr="00796568">
              <w:rPr>
                <w:rFonts w:cs="Arial"/>
                <w:b/>
                <w:bCs/>
                <w:color w:val="800080"/>
                <w:sz w:val="20"/>
                <w:szCs w:val="20"/>
              </w:rPr>
              <w:t xml:space="preserve"> </w:t>
            </w:r>
            <w:r w:rsidRPr="00796568">
              <w:rPr>
                <w:rFonts w:cs="Arial"/>
                <w:b/>
                <w:bCs/>
                <w:color w:val="800080"/>
                <w:sz w:val="20"/>
                <w:szCs w:val="20"/>
              </w:rPr>
              <w:t>Gasoline</w:t>
            </w:r>
          </w:p>
          <w:p w14:paraId="7F48247A" w14:textId="77E24FAA" w:rsidR="001E20DC"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(gallons)</w:t>
            </w:r>
          </w:p>
        </w:tc>
        <w:tc>
          <w:tcPr>
            <w:tcW w:w="1634" w:type="dxa"/>
            <w:shd w:val="clear" w:color="auto" w:fill="auto"/>
            <w:vAlign w:val="center"/>
          </w:tcPr>
          <w:p w14:paraId="11AE943C" w14:textId="77777777" w:rsidR="001E20DC"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Energy Consumption Diesel</w:t>
            </w:r>
          </w:p>
          <w:p w14:paraId="0DAC484C" w14:textId="71798B4D" w:rsidR="00B15C3F"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(gallons)</w:t>
            </w:r>
          </w:p>
        </w:tc>
        <w:tc>
          <w:tcPr>
            <w:tcW w:w="1634" w:type="dxa"/>
            <w:shd w:val="clear" w:color="auto" w:fill="auto"/>
            <w:vAlign w:val="center"/>
          </w:tcPr>
          <w:p w14:paraId="2A121C5F" w14:textId="77777777" w:rsidR="001E20DC"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Energy Consumption Electricity</w:t>
            </w:r>
          </w:p>
          <w:p w14:paraId="255E3559" w14:textId="13D721AF" w:rsidR="00B15C3F"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(kWh)</w:t>
            </w:r>
          </w:p>
        </w:tc>
        <w:tc>
          <w:tcPr>
            <w:tcW w:w="1505" w:type="dxa"/>
            <w:shd w:val="clear" w:color="auto" w:fill="auto"/>
            <w:vAlign w:val="center"/>
          </w:tcPr>
          <w:p w14:paraId="07DBE35F" w14:textId="77777777" w:rsidR="001E20DC"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Energy Consumption XXX</w:t>
            </w:r>
          </w:p>
          <w:p w14:paraId="2A31517A" w14:textId="19AE7633" w:rsidR="00B15C3F"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(units)</w:t>
            </w:r>
          </w:p>
        </w:tc>
        <w:tc>
          <w:tcPr>
            <w:tcW w:w="1528" w:type="dxa"/>
            <w:shd w:val="clear" w:color="auto" w:fill="auto"/>
            <w:vAlign w:val="center"/>
          </w:tcPr>
          <w:p w14:paraId="30CA73E3" w14:textId="77777777" w:rsidR="001E20DC"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Total Energy Consumption</w:t>
            </w:r>
          </w:p>
          <w:p w14:paraId="410F8D5C" w14:textId="61CC8C33" w:rsidR="00B15C3F"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w:t>
            </w:r>
            <w:proofErr w:type="gramStart"/>
            <w:r w:rsidRPr="00796568">
              <w:rPr>
                <w:rFonts w:cs="Arial"/>
                <w:b/>
                <w:bCs/>
                <w:color w:val="800080"/>
                <w:sz w:val="20"/>
                <w:szCs w:val="20"/>
              </w:rPr>
              <w:t>in</w:t>
            </w:r>
            <w:proofErr w:type="gramEnd"/>
            <w:r w:rsidRPr="00796568">
              <w:rPr>
                <w:rFonts w:cs="Arial"/>
                <w:b/>
                <w:bCs/>
                <w:color w:val="800080"/>
                <w:sz w:val="20"/>
                <w:szCs w:val="20"/>
              </w:rPr>
              <w:t xml:space="preserve"> 100,000 BTU)</w:t>
            </w:r>
          </w:p>
        </w:tc>
        <w:tc>
          <w:tcPr>
            <w:tcW w:w="1620" w:type="dxa"/>
            <w:shd w:val="clear" w:color="auto" w:fill="auto"/>
            <w:vAlign w:val="center"/>
          </w:tcPr>
          <w:p w14:paraId="1D44F57E" w14:textId="77777777" w:rsidR="001E20DC"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Change from Base Year</w:t>
            </w:r>
          </w:p>
          <w:p w14:paraId="0CAEECAC" w14:textId="798AA0E3" w:rsidR="00B15C3F"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w:t>
            </w:r>
            <w:proofErr w:type="gramStart"/>
            <w:r w:rsidRPr="00796568">
              <w:rPr>
                <w:rFonts w:cs="Arial"/>
                <w:b/>
                <w:bCs/>
                <w:color w:val="800080"/>
                <w:sz w:val="20"/>
                <w:szCs w:val="20"/>
              </w:rPr>
              <w:t>in</w:t>
            </w:r>
            <w:proofErr w:type="gramEnd"/>
            <w:r w:rsidRPr="00796568">
              <w:rPr>
                <w:rFonts w:cs="Arial"/>
                <w:b/>
                <w:bCs/>
                <w:color w:val="800080"/>
                <w:sz w:val="20"/>
                <w:szCs w:val="20"/>
              </w:rPr>
              <w:t xml:space="preserve"> 100,000 BTU)</w:t>
            </w:r>
          </w:p>
        </w:tc>
        <w:tc>
          <w:tcPr>
            <w:tcW w:w="1527" w:type="dxa"/>
            <w:shd w:val="clear" w:color="auto" w:fill="auto"/>
            <w:vAlign w:val="center"/>
          </w:tcPr>
          <w:p w14:paraId="359DB836" w14:textId="77777777" w:rsidR="001E20DC"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Change from No Build</w:t>
            </w:r>
          </w:p>
          <w:p w14:paraId="2DBA4BB1" w14:textId="7EB0C3E8" w:rsidR="00B15C3F" w:rsidRPr="00796568" w:rsidRDefault="001E20DC" w:rsidP="00512DB3">
            <w:pPr>
              <w:spacing w:beforeLines="20" w:before="48" w:afterLines="20" w:after="48"/>
              <w:jc w:val="center"/>
              <w:rPr>
                <w:rFonts w:cs="Arial"/>
                <w:b/>
                <w:bCs/>
                <w:color w:val="800080"/>
                <w:sz w:val="20"/>
                <w:szCs w:val="20"/>
              </w:rPr>
            </w:pPr>
            <w:r w:rsidRPr="00796568">
              <w:rPr>
                <w:rFonts w:cs="Arial"/>
                <w:b/>
                <w:bCs/>
                <w:color w:val="800080"/>
                <w:sz w:val="20"/>
                <w:szCs w:val="20"/>
              </w:rPr>
              <w:t>(</w:t>
            </w:r>
            <w:proofErr w:type="gramStart"/>
            <w:r w:rsidRPr="00796568">
              <w:rPr>
                <w:rFonts w:cs="Arial"/>
                <w:b/>
                <w:bCs/>
                <w:color w:val="800080"/>
                <w:sz w:val="20"/>
                <w:szCs w:val="20"/>
              </w:rPr>
              <w:t>in</w:t>
            </w:r>
            <w:proofErr w:type="gramEnd"/>
            <w:r w:rsidRPr="00796568">
              <w:rPr>
                <w:rFonts w:cs="Arial"/>
                <w:b/>
                <w:bCs/>
                <w:color w:val="800080"/>
                <w:sz w:val="20"/>
                <w:szCs w:val="20"/>
              </w:rPr>
              <w:t xml:space="preserve"> 100,000 BTU)</w:t>
            </w:r>
          </w:p>
        </w:tc>
      </w:tr>
      <w:tr w:rsidR="0000250D" w:rsidRPr="00796568" w14:paraId="62236F76" w14:textId="77777777" w:rsidTr="00796568">
        <w:trPr>
          <w:cantSplit/>
          <w:tblHeader/>
          <w:jc w:val="center"/>
        </w:trPr>
        <w:tc>
          <w:tcPr>
            <w:tcW w:w="1954" w:type="dxa"/>
          </w:tcPr>
          <w:p w14:paraId="332D7D51" w14:textId="557F15C4" w:rsidR="001E20DC" w:rsidRPr="00796568" w:rsidRDefault="001E20DC" w:rsidP="00512DB3">
            <w:pPr>
              <w:spacing w:beforeLines="20" w:before="48" w:afterLines="20" w:after="48"/>
              <w:rPr>
                <w:rFonts w:cs="Arial"/>
                <w:color w:val="800080"/>
                <w:sz w:val="20"/>
                <w:szCs w:val="20"/>
              </w:rPr>
            </w:pPr>
            <w:r w:rsidRPr="00796568">
              <w:rPr>
                <w:rFonts w:cs="Arial"/>
                <w:color w:val="800080"/>
                <w:sz w:val="20"/>
                <w:szCs w:val="20"/>
              </w:rPr>
              <w:t>Base Year 2017</w:t>
            </w:r>
          </w:p>
        </w:tc>
        <w:tc>
          <w:tcPr>
            <w:tcW w:w="1550" w:type="dxa"/>
          </w:tcPr>
          <w:p w14:paraId="732D5434" w14:textId="77777777" w:rsidR="001E20DC" w:rsidRPr="00796568" w:rsidRDefault="001E20DC" w:rsidP="00512DB3">
            <w:pPr>
              <w:spacing w:beforeLines="20" w:before="48" w:afterLines="20" w:after="48"/>
              <w:rPr>
                <w:rFonts w:cs="Arial"/>
                <w:color w:val="800080"/>
                <w:sz w:val="20"/>
                <w:szCs w:val="20"/>
              </w:rPr>
            </w:pPr>
          </w:p>
        </w:tc>
        <w:tc>
          <w:tcPr>
            <w:tcW w:w="1634" w:type="dxa"/>
          </w:tcPr>
          <w:p w14:paraId="2D044F8B" w14:textId="77777777" w:rsidR="001E20DC" w:rsidRPr="00796568" w:rsidRDefault="001E20DC" w:rsidP="00512DB3">
            <w:pPr>
              <w:spacing w:beforeLines="20" w:before="48" w:afterLines="20" w:after="48"/>
              <w:rPr>
                <w:rFonts w:cs="Arial"/>
                <w:color w:val="800080"/>
                <w:sz w:val="20"/>
                <w:szCs w:val="20"/>
              </w:rPr>
            </w:pPr>
          </w:p>
        </w:tc>
        <w:tc>
          <w:tcPr>
            <w:tcW w:w="1634" w:type="dxa"/>
          </w:tcPr>
          <w:p w14:paraId="196C5CB1" w14:textId="77777777" w:rsidR="001E20DC" w:rsidRPr="00796568" w:rsidRDefault="001E20DC" w:rsidP="00512DB3">
            <w:pPr>
              <w:spacing w:beforeLines="20" w:before="48" w:afterLines="20" w:after="48"/>
              <w:rPr>
                <w:rFonts w:cs="Arial"/>
                <w:color w:val="800080"/>
                <w:sz w:val="20"/>
                <w:szCs w:val="20"/>
              </w:rPr>
            </w:pPr>
          </w:p>
        </w:tc>
        <w:tc>
          <w:tcPr>
            <w:tcW w:w="1505" w:type="dxa"/>
          </w:tcPr>
          <w:p w14:paraId="6D2CB9EE" w14:textId="77777777" w:rsidR="001E20DC" w:rsidRPr="00796568" w:rsidRDefault="001E20DC" w:rsidP="00512DB3">
            <w:pPr>
              <w:spacing w:beforeLines="20" w:before="48" w:afterLines="20" w:after="48"/>
              <w:rPr>
                <w:rFonts w:cs="Arial"/>
                <w:color w:val="800080"/>
                <w:sz w:val="20"/>
                <w:szCs w:val="20"/>
              </w:rPr>
            </w:pPr>
          </w:p>
        </w:tc>
        <w:tc>
          <w:tcPr>
            <w:tcW w:w="1528" w:type="dxa"/>
          </w:tcPr>
          <w:p w14:paraId="67E5D22D" w14:textId="77777777" w:rsidR="001E20DC" w:rsidRPr="00796568" w:rsidRDefault="001E20DC" w:rsidP="00512DB3">
            <w:pPr>
              <w:spacing w:beforeLines="20" w:before="48" w:afterLines="20" w:after="48"/>
              <w:rPr>
                <w:rFonts w:cs="Arial"/>
                <w:color w:val="800080"/>
                <w:sz w:val="20"/>
                <w:szCs w:val="20"/>
              </w:rPr>
            </w:pPr>
          </w:p>
        </w:tc>
        <w:tc>
          <w:tcPr>
            <w:tcW w:w="1620" w:type="dxa"/>
          </w:tcPr>
          <w:p w14:paraId="76BCE5C8" w14:textId="77777777" w:rsidR="001E20DC" w:rsidRPr="00796568" w:rsidRDefault="001E20DC" w:rsidP="00512DB3">
            <w:pPr>
              <w:spacing w:beforeLines="20" w:before="48" w:afterLines="20" w:after="48"/>
              <w:rPr>
                <w:rFonts w:cs="Arial"/>
                <w:color w:val="800080"/>
                <w:sz w:val="20"/>
                <w:szCs w:val="20"/>
              </w:rPr>
            </w:pPr>
          </w:p>
        </w:tc>
        <w:tc>
          <w:tcPr>
            <w:tcW w:w="1527" w:type="dxa"/>
          </w:tcPr>
          <w:p w14:paraId="47C816E7" w14:textId="77777777" w:rsidR="001E20DC" w:rsidRPr="00796568" w:rsidRDefault="001E20DC" w:rsidP="00512DB3">
            <w:pPr>
              <w:spacing w:beforeLines="20" w:before="48" w:afterLines="20" w:after="48"/>
              <w:rPr>
                <w:rFonts w:cs="Arial"/>
                <w:color w:val="800080"/>
                <w:sz w:val="20"/>
                <w:szCs w:val="20"/>
              </w:rPr>
            </w:pPr>
          </w:p>
        </w:tc>
      </w:tr>
      <w:tr w:rsidR="0000250D" w:rsidRPr="00796568" w14:paraId="7610EC77" w14:textId="77777777" w:rsidTr="00796568">
        <w:trPr>
          <w:cantSplit/>
          <w:tblHeader/>
          <w:jc w:val="center"/>
        </w:trPr>
        <w:tc>
          <w:tcPr>
            <w:tcW w:w="1954" w:type="dxa"/>
          </w:tcPr>
          <w:p w14:paraId="0477F004" w14:textId="0772DE3E" w:rsidR="001E20DC" w:rsidRPr="00796568" w:rsidRDefault="001E20DC" w:rsidP="00512DB3">
            <w:pPr>
              <w:spacing w:beforeLines="20" w:before="48" w:afterLines="20" w:after="48"/>
              <w:rPr>
                <w:rFonts w:cs="Arial"/>
                <w:color w:val="800080"/>
                <w:sz w:val="20"/>
                <w:szCs w:val="20"/>
              </w:rPr>
            </w:pPr>
            <w:r w:rsidRPr="00796568">
              <w:rPr>
                <w:rFonts w:cs="Arial"/>
                <w:color w:val="800080"/>
                <w:sz w:val="20"/>
                <w:szCs w:val="20"/>
              </w:rPr>
              <w:t>Opening Year 2025</w:t>
            </w:r>
          </w:p>
        </w:tc>
        <w:tc>
          <w:tcPr>
            <w:tcW w:w="1550" w:type="dxa"/>
          </w:tcPr>
          <w:p w14:paraId="083F7D62" w14:textId="77777777" w:rsidR="001E20DC" w:rsidRPr="00796568" w:rsidRDefault="001E20DC" w:rsidP="00512DB3">
            <w:pPr>
              <w:spacing w:beforeLines="20" w:before="48" w:afterLines="20" w:after="48"/>
              <w:rPr>
                <w:rFonts w:cs="Arial"/>
                <w:color w:val="800080"/>
                <w:sz w:val="20"/>
                <w:szCs w:val="20"/>
              </w:rPr>
            </w:pPr>
          </w:p>
        </w:tc>
        <w:tc>
          <w:tcPr>
            <w:tcW w:w="1634" w:type="dxa"/>
          </w:tcPr>
          <w:p w14:paraId="06B9C75C" w14:textId="77777777" w:rsidR="001E20DC" w:rsidRPr="00796568" w:rsidRDefault="001E20DC" w:rsidP="00512DB3">
            <w:pPr>
              <w:spacing w:beforeLines="20" w:before="48" w:afterLines="20" w:after="48"/>
              <w:rPr>
                <w:rFonts w:cs="Arial"/>
                <w:color w:val="800080"/>
                <w:sz w:val="20"/>
                <w:szCs w:val="20"/>
              </w:rPr>
            </w:pPr>
          </w:p>
        </w:tc>
        <w:tc>
          <w:tcPr>
            <w:tcW w:w="1634" w:type="dxa"/>
          </w:tcPr>
          <w:p w14:paraId="2021D516" w14:textId="77777777" w:rsidR="001E20DC" w:rsidRPr="00796568" w:rsidRDefault="001E20DC" w:rsidP="00512DB3">
            <w:pPr>
              <w:spacing w:beforeLines="20" w:before="48" w:afterLines="20" w:after="48"/>
              <w:rPr>
                <w:rFonts w:cs="Arial"/>
                <w:color w:val="800080"/>
                <w:sz w:val="20"/>
                <w:szCs w:val="20"/>
              </w:rPr>
            </w:pPr>
          </w:p>
        </w:tc>
        <w:tc>
          <w:tcPr>
            <w:tcW w:w="1505" w:type="dxa"/>
          </w:tcPr>
          <w:p w14:paraId="4CF87D77" w14:textId="77777777" w:rsidR="001E20DC" w:rsidRPr="00796568" w:rsidRDefault="001E20DC" w:rsidP="00512DB3">
            <w:pPr>
              <w:spacing w:beforeLines="20" w:before="48" w:afterLines="20" w:after="48"/>
              <w:rPr>
                <w:rFonts w:cs="Arial"/>
                <w:color w:val="800080"/>
                <w:sz w:val="20"/>
                <w:szCs w:val="20"/>
              </w:rPr>
            </w:pPr>
          </w:p>
        </w:tc>
        <w:tc>
          <w:tcPr>
            <w:tcW w:w="1528" w:type="dxa"/>
          </w:tcPr>
          <w:p w14:paraId="73F21B37" w14:textId="77777777" w:rsidR="001E20DC" w:rsidRPr="00796568" w:rsidRDefault="001E20DC" w:rsidP="00512DB3">
            <w:pPr>
              <w:spacing w:beforeLines="20" w:before="48" w:afterLines="20" w:after="48"/>
              <w:rPr>
                <w:rFonts w:cs="Arial"/>
                <w:color w:val="800080"/>
                <w:sz w:val="20"/>
                <w:szCs w:val="20"/>
              </w:rPr>
            </w:pPr>
          </w:p>
        </w:tc>
        <w:tc>
          <w:tcPr>
            <w:tcW w:w="1620" w:type="dxa"/>
          </w:tcPr>
          <w:p w14:paraId="2A0AF6C8" w14:textId="77777777" w:rsidR="001E20DC" w:rsidRPr="00796568" w:rsidRDefault="001E20DC" w:rsidP="00512DB3">
            <w:pPr>
              <w:spacing w:beforeLines="20" w:before="48" w:afterLines="20" w:after="48"/>
              <w:rPr>
                <w:rFonts w:cs="Arial"/>
                <w:color w:val="800080"/>
                <w:sz w:val="20"/>
                <w:szCs w:val="20"/>
              </w:rPr>
            </w:pPr>
          </w:p>
        </w:tc>
        <w:tc>
          <w:tcPr>
            <w:tcW w:w="1527" w:type="dxa"/>
          </w:tcPr>
          <w:p w14:paraId="01AA1C6B" w14:textId="77777777" w:rsidR="001E20DC" w:rsidRPr="00796568" w:rsidRDefault="001E20DC" w:rsidP="00512DB3">
            <w:pPr>
              <w:spacing w:beforeLines="20" w:before="48" w:afterLines="20" w:after="48"/>
              <w:rPr>
                <w:rFonts w:cs="Arial"/>
                <w:color w:val="800080"/>
                <w:sz w:val="20"/>
                <w:szCs w:val="20"/>
              </w:rPr>
            </w:pPr>
          </w:p>
        </w:tc>
      </w:tr>
      <w:tr w:rsidR="0000250D" w:rsidRPr="00796568" w14:paraId="67407DA3" w14:textId="77777777" w:rsidTr="00796568">
        <w:trPr>
          <w:cantSplit/>
          <w:tblHeader/>
          <w:jc w:val="center"/>
        </w:trPr>
        <w:tc>
          <w:tcPr>
            <w:tcW w:w="1954" w:type="dxa"/>
          </w:tcPr>
          <w:p w14:paraId="024C88E5" w14:textId="41DDDAC4" w:rsidR="00B15C3F" w:rsidRPr="00796568" w:rsidRDefault="00512DB3" w:rsidP="002F31F9">
            <w:pPr>
              <w:pStyle w:val="ListParagraph"/>
              <w:numPr>
                <w:ilvl w:val="0"/>
                <w:numId w:val="7"/>
              </w:numPr>
              <w:spacing w:beforeLines="20" w:before="48" w:afterLines="20" w:after="48"/>
              <w:ind w:left="340" w:hanging="270"/>
              <w:rPr>
                <w:rFonts w:cs="Arial"/>
                <w:color w:val="800080"/>
                <w:sz w:val="20"/>
                <w:szCs w:val="20"/>
              </w:rPr>
            </w:pPr>
            <w:r w:rsidRPr="00796568">
              <w:rPr>
                <w:rFonts w:cs="Arial"/>
                <w:color w:val="800080"/>
                <w:sz w:val="20"/>
                <w:szCs w:val="20"/>
              </w:rPr>
              <w:t>No Build</w:t>
            </w:r>
          </w:p>
        </w:tc>
        <w:tc>
          <w:tcPr>
            <w:tcW w:w="1550" w:type="dxa"/>
          </w:tcPr>
          <w:p w14:paraId="4D2C7B5A" w14:textId="77777777" w:rsidR="00B15C3F" w:rsidRPr="00796568" w:rsidRDefault="00B15C3F" w:rsidP="00512DB3">
            <w:pPr>
              <w:spacing w:beforeLines="20" w:before="48" w:afterLines="20" w:after="48"/>
              <w:rPr>
                <w:rFonts w:cs="Arial"/>
                <w:color w:val="800080"/>
                <w:sz w:val="20"/>
                <w:szCs w:val="20"/>
              </w:rPr>
            </w:pPr>
          </w:p>
        </w:tc>
        <w:tc>
          <w:tcPr>
            <w:tcW w:w="1634" w:type="dxa"/>
          </w:tcPr>
          <w:p w14:paraId="3E851473" w14:textId="77777777" w:rsidR="00B15C3F" w:rsidRPr="00796568" w:rsidRDefault="00B15C3F" w:rsidP="00512DB3">
            <w:pPr>
              <w:spacing w:beforeLines="20" w:before="48" w:afterLines="20" w:after="48"/>
              <w:rPr>
                <w:rFonts w:cs="Arial"/>
                <w:color w:val="800080"/>
                <w:sz w:val="20"/>
                <w:szCs w:val="20"/>
              </w:rPr>
            </w:pPr>
          </w:p>
        </w:tc>
        <w:tc>
          <w:tcPr>
            <w:tcW w:w="1634" w:type="dxa"/>
          </w:tcPr>
          <w:p w14:paraId="126E47B6" w14:textId="77777777" w:rsidR="00B15C3F" w:rsidRPr="00796568" w:rsidRDefault="00B15C3F" w:rsidP="00512DB3">
            <w:pPr>
              <w:spacing w:beforeLines="20" w:before="48" w:afterLines="20" w:after="48"/>
              <w:rPr>
                <w:rFonts w:cs="Arial"/>
                <w:color w:val="800080"/>
                <w:sz w:val="20"/>
                <w:szCs w:val="20"/>
              </w:rPr>
            </w:pPr>
          </w:p>
        </w:tc>
        <w:tc>
          <w:tcPr>
            <w:tcW w:w="1505" w:type="dxa"/>
          </w:tcPr>
          <w:p w14:paraId="2BC1D2FB" w14:textId="77777777" w:rsidR="00B15C3F" w:rsidRPr="00796568" w:rsidRDefault="00B15C3F" w:rsidP="00512DB3">
            <w:pPr>
              <w:spacing w:beforeLines="20" w:before="48" w:afterLines="20" w:after="48"/>
              <w:rPr>
                <w:rFonts w:cs="Arial"/>
                <w:color w:val="800080"/>
                <w:sz w:val="20"/>
                <w:szCs w:val="20"/>
              </w:rPr>
            </w:pPr>
          </w:p>
        </w:tc>
        <w:tc>
          <w:tcPr>
            <w:tcW w:w="1528" w:type="dxa"/>
          </w:tcPr>
          <w:p w14:paraId="45C7B40F" w14:textId="77777777" w:rsidR="00B15C3F" w:rsidRPr="00796568" w:rsidRDefault="00B15C3F" w:rsidP="00512DB3">
            <w:pPr>
              <w:spacing w:beforeLines="20" w:before="48" w:afterLines="20" w:after="48"/>
              <w:rPr>
                <w:rFonts w:cs="Arial"/>
                <w:color w:val="800080"/>
                <w:sz w:val="20"/>
                <w:szCs w:val="20"/>
              </w:rPr>
            </w:pPr>
          </w:p>
        </w:tc>
        <w:tc>
          <w:tcPr>
            <w:tcW w:w="1620" w:type="dxa"/>
          </w:tcPr>
          <w:p w14:paraId="19538B3A" w14:textId="77777777" w:rsidR="00B15C3F" w:rsidRPr="00796568" w:rsidRDefault="00B15C3F" w:rsidP="00512DB3">
            <w:pPr>
              <w:spacing w:beforeLines="20" w:before="48" w:afterLines="20" w:after="48"/>
              <w:rPr>
                <w:rFonts w:cs="Arial"/>
                <w:color w:val="800080"/>
                <w:sz w:val="20"/>
                <w:szCs w:val="20"/>
              </w:rPr>
            </w:pPr>
          </w:p>
        </w:tc>
        <w:tc>
          <w:tcPr>
            <w:tcW w:w="1527" w:type="dxa"/>
          </w:tcPr>
          <w:p w14:paraId="3510F980" w14:textId="77777777" w:rsidR="00B15C3F" w:rsidRPr="00796568" w:rsidRDefault="00B15C3F" w:rsidP="00512DB3">
            <w:pPr>
              <w:spacing w:beforeLines="20" w:before="48" w:afterLines="20" w:after="48"/>
              <w:rPr>
                <w:rFonts w:cs="Arial"/>
                <w:color w:val="800080"/>
                <w:sz w:val="20"/>
                <w:szCs w:val="20"/>
              </w:rPr>
            </w:pPr>
          </w:p>
        </w:tc>
      </w:tr>
      <w:tr w:rsidR="0000250D" w:rsidRPr="00796568" w14:paraId="3C0C028A" w14:textId="77777777" w:rsidTr="00796568">
        <w:trPr>
          <w:cantSplit/>
          <w:tblHeader/>
          <w:jc w:val="center"/>
        </w:trPr>
        <w:tc>
          <w:tcPr>
            <w:tcW w:w="1954" w:type="dxa"/>
          </w:tcPr>
          <w:p w14:paraId="3020C3C3" w14:textId="5CCC26AF" w:rsidR="00B15C3F" w:rsidRPr="00796568" w:rsidRDefault="00512DB3" w:rsidP="002F31F9">
            <w:pPr>
              <w:pStyle w:val="ListParagraph"/>
              <w:numPr>
                <w:ilvl w:val="0"/>
                <w:numId w:val="7"/>
              </w:numPr>
              <w:spacing w:beforeLines="20" w:before="48" w:afterLines="20" w:after="48"/>
              <w:ind w:left="340" w:hanging="270"/>
              <w:rPr>
                <w:rFonts w:cs="Arial"/>
                <w:color w:val="800080"/>
                <w:sz w:val="20"/>
                <w:szCs w:val="20"/>
              </w:rPr>
            </w:pPr>
            <w:r w:rsidRPr="00796568">
              <w:rPr>
                <w:rFonts w:cs="Arial"/>
                <w:color w:val="800080"/>
                <w:sz w:val="20"/>
                <w:szCs w:val="20"/>
              </w:rPr>
              <w:t>Alternative 1</w:t>
            </w:r>
          </w:p>
        </w:tc>
        <w:tc>
          <w:tcPr>
            <w:tcW w:w="1550" w:type="dxa"/>
          </w:tcPr>
          <w:p w14:paraId="7402D8BE" w14:textId="77777777" w:rsidR="00B15C3F" w:rsidRPr="00796568" w:rsidRDefault="00B15C3F" w:rsidP="00512DB3">
            <w:pPr>
              <w:spacing w:beforeLines="20" w:before="48" w:afterLines="20" w:after="48"/>
              <w:rPr>
                <w:rFonts w:cs="Arial"/>
                <w:color w:val="800080"/>
                <w:sz w:val="20"/>
                <w:szCs w:val="20"/>
              </w:rPr>
            </w:pPr>
          </w:p>
        </w:tc>
        <w:tc>
          <w:tcPr>
            <w:tcW w:w="1634" w:type="dxa"/>
          </w:tcPr>
          <w:p w14:paraId="2C41E71D" w14:textId="77777777" w:rsidR="00B15C3F" w:rsidRPr="00796568" w:rsidRDefault="00B15C3F" w:rsidP="00512DB3">
            <w:pPr>
              <w:spacing w:beforeLines="20" w:before="48" w:afterLines="20" w:after="48"/>
              <w:rPr>
                <w:rFonts w:cs="Arial"/>
                <w:color w:val="800080"/>
                <w:sz w:val="20"/>
                <w:szCs w:val="20"/>
              </w:rPr>
            </w:pPr>
          </w:p>
        </w:tc>
        <w:tc>
          <w:tcPr>
            <w:tcW w:w="1634" w:type="dxa"/>
          </w:tcPr>
          <w:p w14:paraId="774C0133" w14:textId="77777777" w:rsidR="00B15C3F" w:rsidRPr="00796568" w:rsidRDefault="00B15C3F" w:rsidP="00512DB3">
            <w:pPr>
              <w:spacing w:beforeLines="20" w:before="48" w:afterLines="20" w:after="48"/>
              <w:rPr>
                <w:rFonts w:cs="Arial"/>
                <w:color w:val="800080"/>
                <w:sz w:val="20"/>
                <w:szCs w:val="20"/>
              </w:rPr>
            </w:pPr>
          </w:p>
        </w:tc>
        <w:tc>
          <w:tcPr>
            <w:tcW w:w="1505" w:type="dxa"/>
          </w:tcPr>
          <w:p w14:paraId="39D6EE2D" w14:textId="77777777" w:rsidR="00B15C3F" w:rsidRPr="00796568" w:rsidRDefault="00B15C3F" w:rsidP="00512DB3">
            <w:pPr>
              <w:spacing w:beforeLines="20" w:before="48" w:afterLines="20" w:after="48"/>
              <w:rPr>
                <w:rFonts w:cs="Arial"/>
                <w:color w:val="800080"/>
                <w:sz w:val="20"/>
                <w:szCs w:val="20"/>
              </w:rPr>
            </w:pPr>
          </w:p>
        </w:tc>
        <w:tc>
          <w:tcPr>
            <w:tcW w:w="1528" w:type="dxa"/>
          </w:tcPr>
          <w:p w14:paraId="057BF683" w14:textId="77777777" w:rsidR="00B15C3F" w:rsidRPr="00796568" w:rsidRDefault="00B15C3F" w:rsidP="00512DB3">
            <w:pPr>
              <w:spacing w:beforeLines="20" w:before="48" w:afterLines="20" w:after="48"/>
              <w:rPr>
                <w:rFonts w:cs="Arial"/>
                <w:color w:val="800080"/>
                <w:sz w:val="20"/>
                <w:szCs w:val="20"/>
              </w:rPr>
            </w:pPr>
          </w:p>
        </w:tc>
        <w:tc>
          <w:tcPr>
            <w:tcW w:w="1620" w:type="dxa"/>
          </w:tcPr>
          <w:p w14:paraId="7FACC1F9" w14:textId="77777777" w:rsidR="00B15C3F" w:rsidRPr="00796568" w:rsidRDefault="00B15C3F" w:rsidP="00512DB3">
            <w:pPr>
              <w:spacing w:beforeLines="20" w:before="48" w:afterLines="20" w:after="48"/>
              <w:rPr>
                <w:rFonts w:cs="Arial"/>
                <w:color w:val="800080"/>
                <w:sz w:val="20"/>
                <w:szCs w:val="20"/>
              </w:rPr>
            </w:pPr>
          </w:p>
        </w:tc>
        <w:tc>
          <w:tcPr>
            <w:tcW w:w="1527" w:type="dxa"/>
          </w:tcPr>
          <w:p w14:paraId="219A6B1D" w14:textId="77777777" w:rsidR="00B15C3F" w:rsidRPr="00796568" w:rsidRDefault="00B15C3F" w:rsidP="00512DB3">
            <w:pPr>
              <w:spacing w:beforeLines="20" w:before="48" w:afterLines="20" w:after="48"/>
              <w:rPr>
                <w:rFonts w:cs="Arial"/>
                <w:color w:val="800080"/>
                <w:sz w:val="20"/>
                <w:szCs w:val="20"/>
              </w:rPr>
            </w:pPr>
          </w:p>
        </w:tc>
      </w:tr>
      <w:tr w:rsidR="0000250D" w:rsidRPr="00796568" w14:paraId="27F96C62" w14:textId="77777777" w:rsidTr="00796568">
        <w:trPr>
          <w:cantSplit/>
          <w:tblHeader/>
          <w:jc w:val="center"/>
        </w:trPr>
        <w:tc>
          <w:tcPr>
            <w:tcW w:w="1954" w:type="dxa"/>
          </w:tcPr>
          <w:p w14:paraId="33CA3B28" w14:textId="6D31EE46" w:rsidR="00B15C3F" w:rsidRPr="00796568" w:rsidRDefault="00512DB3" w:rsidP="002F31F9">
            <w:pPr>
              <w:pStyle w:val="ListParagraph"/>
              <w:numPr>
                <w:ilvl w:val="0"/>
                <w:numId w:val="7"/>
              </w:numPr>
              <w:spacing w:beforeLines="20" w:before="48" w:afterLines="20" w:after="48"/>
              <w:ind w:left="340" w:hanging="270"/>
              <w:rPr>
                <w:rFonts w:cs="Arial"/>
                <w:color w:val="800080"/>
                <w:sz w:val="20"/>
                <w:szCs w:val="20"/>
              </w:rPr>
            </w:pPr>
            <w:r w:rsidRPr="00796568">
              <w:rPr>
                <w:rFonts w:cs="Arial"/>
                <w:color w:val="800080"/>
                <w:sz w:val="20"/>
                <w:szCs w:val="20"/>
              </w:rPr>
              <w:t>Alternative 2</w:t>
            </w:r>
          </w:p>
        </w:tc>
        <w:tc>
          <w:tcPr>
            <w:tcW w:w="1550" w:type="dxa"/>
          </w:tcPr>
          <w:p w14:paraId="704C2AE5" w14:textId="77777777" w:rsidR="00B15C3F" w:rsidRPr="00796568" w:rsidRDefault="00B15C3F" w:rsidP="00512DB3">
            <w:pPr>
              <w:spacing w:beforeLines="20" w:before="48" w:afterLines="20" w:after="48"/>
              <w:rPr>
                <w:rFonts w:cs="Arial"/>
                <w:color w:val="800080"/>
                <w:sz w:val="20"/>
                <w:szCs w:val="20"/>
              </w:rPr>
            </w:pPr>
          </w:p>
        </w:tc>
        <w:tc>
          <w:tcPr>
            <w:tcW w:w="1634" w:type="dxa"/>
          </w:tcPr>
          <w:p w14:paraId="35168A54" w14:textId="77777777" w:rsidR="00B15C3F" w:rsidRPr="00796568" w:rsidRDefault="00B15C3F" w:rsidP="00512DB3">
            <w:pPr>
              <w:spacing w:beforeLines="20" w:before="48" w:afterLines="20" w:after="48"/>
              <w:rPr>
                <w:rFonts w:cs="Arial"/>
                <w:color w:val="800080"/>
                <w:sz w:val="20"/>
                <w:szCs w:val="20"/>
              </w:rPr>
            </w:pPr>
          </w:p>
        </w:tc>
        <w:tc>
          <w:tcPr>
            <w:tcW w:w="1634" w:type="dxa"/>
          </w:tcPr>
          <w:p w14:paraId="3CC58B29" w14:textId="77777777" w:rsidR="00B15C3F" w:rsidRPr="00796568" w:rsidRDefault="00B15C3F" w:rsidP="00512DB3">
            <w:pPr>
              <w:spacing w:beforeLines="20" w:before="48" w:afterLines="20" w:after="48"/>
              <w:rPr>
                <w:rFonts w:cs="Arial"/>
                <w:color w:val="800080"/>
                <w:sz w:val="20"/>
                <w:szCs w:val="20"/>
              </w:rPr>
            </w:pPr>
          </w:p>
        </w:tc>
        <w:tc>
          <w:tcPr>
            <w:tcW w:w="1505" w:type="dxa"/>
          </w:tcPr>
          <w:p w14:paraId="01788B26" w14:textId="77777777" w:rsidR="00B15C3F" w:rsidRPr="00796568" w:rsidRDefault="00B15C3F" w:rsidP="00512DB3">
            <w:pPr>
              <w:spacing w:beforeLines="20" w:before="48" w:afterLines="20" w:after="48"/>
              <w:rPr>
                <w:rFonts w:cs="Arial"/>
                <w:color w:val="800080"/>
                <w:sz w:val="20"/>
                <w:szCs w:val="20"/>
              </w:rPr>
            </w:pPr>
          </w:p>
        </w:tc>
        <w:tc>
          <w:tcPr>
            <w:tcW w:w="1528" w:type="dxa"/>
          </w:tcPr>
          <w:p w14:paraId="087EEFD3" w14:textId="77777777" w:rsidR="00B15C3F" w:rsidRPr="00796568" w:rsidRDefault="00B15C3F" w:rsidP="00512DB3">
            <w:pPr>
              <w:spacing w:beforeLines="20" w:before="48" w:afterLines="20" w:after="48"/>
              <w:rPr>
                <w:rFonts w:cs="Arial"/>
                <w:color w:val="800080"/>
                <w:sz w:val="20"/>
                <w:szCs w:val="20"/>
              </w:rPr>
            </w:pPr>
          </w:p>
        </w:tc>
        <w:tc>
          <w:tcPr>
            <w:tcW w:w="1620" w:type="dxa"/>
          </w:tcPr>
          <w:p w14:paraId="08C31BEB" w14:textId="77777777" w:rsidR="00B15C3F" w:rsidRPr="00796568" w:rsidRDefault="00B15C3F" w:rsidP="00512DB3">
            <w:pPr>
              <w:spacing w:beforeLines="20" w:before="48" w:afterLines="20" w:after="48"/>
              <w:rPr>
                <w:rFonts w:cs="Arial"/>
                <w:color w:val="800080"/>
                <w:sz w:val="20"/>
                <w:szCs w:val="20"/>
              </w:rPr>
            </w:pPr>
          </w:p>
        </w:tc>
        <w:tc>
          <w:tcPr>
            <w:tcW w:w="1527" w:type="dxa"/>
          </w:tcPr>
          <w:p w14:paraId="4012B012" w14:textId="77777777" w:rsidR="00B15C3F" w:rsidRPr="00796568" w:rsidRDefault="00B15C3F" w:rsidP="00512DB3">
            <w:pPr>
              <w:spacing w:beforeLines="20" w:before="48" w:afterLines="20" w:after="48"/>
              <w:rPr>
                <w:rFonts w:cs="Arial"/>
                <w:color w:val="800080"/>
                <w:sz w:val="20"/>
                <w:szCs w:val="20"/>
              </w:rPr>
            </w:pPr>
          </w:p>
        </w:tc>
      </w:tr>
      <w:tr w:rsidR="0000250D" w:rsidRPr="00796568" w14:paraId="5AB72DA4" w14:textId="77777777" w:rsidTr="00796568">
        <w:trPr>
          <w:cantSplit/>
          <w:tblHeader/>
          <w:jc w:val="center"/>
        </w:trPr>
        <w:tc>
          <w:tcPr>
            <w:tcW w:w="1954" w:type="dxa"/>
          </w:tcPr>
          <w:p w14:paraId="26BFB27C" w14:textId="22BD7890" w:rsidR="00B15C3F" w:rsidRPr="00796568" w:rsidRDefault="001E20DC" w:rsidP="00512DB3">
            <w:pPr>
              <w:spacing w:beforeLines="20" w:before="48" w:afterLines="20" w:after="48"/>
              <w:rPr>
                <w:rFonts w:cs="Arial"/>
                <w:color w:val="800080"/>
                <w:sz w:val="20"/>
                <w:szCs w:val="20"/>
              </w:rPr>
            </w:pPr>
            <w:r w:rsidRPr="00796568">
              <w:rPr>
                <w:rFonts w:cs="Arial"/>
                <w:color w:val="800080"/>
                <w:sz w:val="20"/>
                <w:szCs w:val="20"/>
              </w:rPr>
              <w:t>Design Year 2045</w:t>
            </w:r>
          </w:p>
        </w:tc>
        <w:tc>
          <w:tcPr>
            <w:tcW w:w="1550" w:type="dxa"/>
          </w:tcPr>
          <w:p w14:paraId="232F1272" w14:textId="77777777" w:rsidR="00B15C3F" w:rsidRPr="00796568" w:rsidRDefault="00B15C3F" w:rsidP="00512DB3">
            <w:pPr>
              <w:spacing w:beforeLines="20" w:before="48" w:afterLines="20" w:after="48"/>
              <w:rPr>
                <w:rFonts w:cs="Arial"/>
                <w:color w:val="800080"/>
                <w:sz w:val="20"/>
                <w:szCs w:val="20"/>
              </w:rPr>
            </w:pPr>
          </w:p>
        </w:tc>
        <w:tc>
          <w:tcPr>
            <w:tcW w:w="1634" w:type="dxa"/>
          </w:tcPr>
          <w:p w14:paraId="5FE35942" w14:textId="77777777" w:rsidR="00B15C3F" w:rsidRPr="00796568" w:rsidRDefault="00B15C3F" w:rsidP="00512DB3">
            <w:pPr>
              <w:spacing w:beforeLines="20" w:before="48" w:afterLines="20" w:after="48"/>
              <w:rPr>
                <w:rFonts w:cs="Arial"/>
                <w:color w:val="800080"/>
                <w:sz w:val="20"/>
                <w:szCs w:val="20"/>
              </w:rPr>
            </w:pPr>
          </w:p>
        </w:tc>
        <w:tc>
          <w:tcPr>
            <w:tcW w:w="1634" w:type="dxa"/>
          </w:tcPr>
          <w:p w14:paraId="2FE41B82" w14:textId="77777777" w:rsidR="00B15C3F" w:rsidRPr="00796568" w:rsidRDefault="00B15C3F" w:rsidP="00512DB3">
            <w:pPr>
              <w:spacing w:beforeLines="20" w:before="48" w:afterLines="20" w:after="48"/>
              <w:rPr>
                <w:rFonts w:cs="Arial"/>
                <w:color w:val="800080"/>
                <w:sz w:val="20"/>
                <w:szCs w:val="20"/>
              </w:rPr>
            </w:pPr>
          </w:p>
        </w:tc>
        <w:tc>
          <w:tcPr>
            <w:tcW w:w="1505" w:type="dxa"/>
          </w:tcPr>
          <w:p w14:paraId="5D001E98" w14:textId="77777777" w:rsidR="00B15C3F" w:rsidRPr="00796568" w:rsidRDefault="00B15C3F" w:rsidP="00512DB3">
            <w:pPr>
              <w:spacing w:beforeLines="20" w:before="48" w:afterLines="20" w:after="48"/>
              <w:rPr>
                <w:rFonts w:cs="Arial"/>
                <w:color w:val="800080"/>
                <w:sz w:val="20"/>
                <w:szCs w:val="20"/>
              </w:rPr>
            </w:pPr>
          </w:p>
        </w:tc>
        <w:tc>
          <w:tcPr>
            <w:tcW w:w="1528" w:type="dxa"/>
          </w:tcPr>
          <w:p w14:paraId="68A29B49" w14:textId="77777777" w:rsidR="00B15C3F" w:rsidRPr="00796568" w:rsidRDefault="00B15C3F" w:rsidP="00512DB3">
            <w:pPr>
              <w:spacing w:beforeLines="20" w:before="48" w:afterLines="20" w:after="48"/>
              <w:rPr>
                <w:rFonts w:cs="Arial"/>
                <w:color w:val="800080"/>
                <w:sz w:val="20"/>
                <w:szCs w:val="20"/>
              </w:rPr>
            </w:pPr>
          </w:p>
        </w:tc>
        <w:tc>
          <w:tcPr>
            <w:tcW w:w="1620" w:type="dxa"/>
          </w:tcPr>
          <w:p w14:paraId="412C3934" w14:textId="77777777" w:rsidR="00B15C3F" w:rsidRPr="00796568" w:rsidRDefault="00B15C3F" w:rsidP="00512DB3">
            <w:pPr>
              <w:spacing w:beforeLines="20" w:before="48" w:afterLines="20" w:after="48"/>
              <w:rPr>
                <w:rFonts w:cs="Arial"/>
                <w:color w:val="800080"/>
                <w:sz w:val="20"/>
                <w:szCs w:val="20"/>
              </w:rPr>
            </w:pPr>
          </w:p>
        </w:tc>
        <w:tc>
          <w:tcPr>
            <w:tcW w:w="1527" w:type="dxa"/>
          </w:tcPr>
          <w:p w14:paraId="589B5921" w14:textId="77777777" w:rsidR="00B15C3F" w:rsidRPr="00796568" w:rsidRDefault="00B15C3F" w:rsidP="00512DB3">
            <w:pPr>
              <w:spacing w:beforeLines="20" w:before="48" w:afterLines="20" w:after="48"/>
              <w:rPr>
                <w:rFonts w:cs="Arial"/>
                <w:color w:val="800080"/>
                <w:sz w:val="20"/>
                <w:szCs w:val="20"/>
              </w:rPr>
            </w:pPr>
          </w:p>
        </w:tc>
      </w:tr>
      <w:tr w:rsidR="0000250D" w:rsidRPr="00796568" w14:paraId="64F4D17C" w14:textId="77777777" w:rsidTr="00796568">
        <w:trPr>
          <w:cantSplit/>
          <w:tblHeader/>
          <w:jc w:val="center"/>
        </w:trPr>
        <w:tc>
          <w:tcPr>
            <w:tcW w:w="1954" w:type="dxa"/>
          </w:tcPr>
          <w:p w14:paraId="405EC093" w14:textId="4A5C7332" w:rsidR="00512DB3" w:rsidRPr="00796568" w:rsidRDefault="00512DB3" w:rsidP="002F31F9">
            <w:pPr>
              <w:pStyle w:val="ListParagraph"/>
              <w:numPr>
                <w:ilvl w:val="0"/>
                <w:numId w:val="8"/>
              </w:numPr>
              <w:spacing w:beforeLines="20" w:before="48" w:afterLines="20" w:after="48"/>
              <w:ind w:left="340" w:hanging="270"/>
              <w:rPr>
                <w:rFonts w:cs="Arial"/>
                <w:color w:val="800080"/>
                <w:sz w:val="20"/>
                <w:szCs w:val="20"/>
              </w:rPr>
            </w:pPr>
            <w:r w:rsidRPr="00796568">
              <w:rPr>
                <w:rFonts w:cs="Arial"/>
                <w:color w:val="800080"/>
                <w:sz w:val="20"/>
                <w:szCs w:val="20"/>
              </w:rPr>
              <w:t>No Build</w:t>
            </w:r>
          </w:p>
        </w:tc>
        <w:tc>
          <w:tcPr>
            <w:tcW w:w="1550" w:type="dxa"/>
          </w:tcPr>
          <w:p w14:paraId="0E0E92A2" w14:textId="77777777" w:rsidR="00512DB3" w:rsidRPr="00796568" w:rsidRDefault="00512DB3" w:rsidP="00512DB3">
            <w:pPr>
              <w:spacing w:beforeLines="20" w:before="48" w:afterLines="20" w:after="48"/>
              <w:rPr>
                <w:rFonts w:cs="Arial"/>
                <w:color w:val="800080"/>
                <w:sz w:val="20"/>
                <w:szCs w:val="20"/>
              </w:rPr>
            </w:pPr>
          </w:p>
        </w:tc>
        <w:tc>
          <w:tcPr>
            <w:tcW w:w="1634" w:type="dxa"/>
          </w:tcPr>
          <w:p w14:paraId="601C126A" w14:textId="77777777" w:rsidR="00512DB3" w:rsidRPr="00796568" w:rsidRDefault="00512DB3" w:rsidP="00512DB3">
            <w:pPr>
              <w:spacing w:beforeLines="20" w:before="48" w:afterLines="20" w:after="48"/>
              <w:rPr>
                <w:rFonts w:cs="Arial"/>
                <w:color w:val="800080"/>
                <w:sz w:val="20"/>
                <w:szCs w:val="20"/>
              </w:rPr>
            </w:pPr>
          </w:p>
        </w:tc>
        <w:tc>
          <w:tcPr>
            <w:tcW w:w="1634" w:type="dxa"/>
          </w:tcPr>
          <w:p w14:paraId="2FFB43E0" w14:textId="77777777" w:rsidR="00512DB3" w:rsidRPr="00796568" w:rsidRDefault="00512DB3" w:rsidP="00512DB3">
            <w:pPr>
              <w:spacing w:beforeLines="20" w:before="48" w:afterLines="20" w:after="48"/>
              <w:rPr>
                <w:rFonts w:cs="Arial"/>
                <w:color w:val="800080"/>
                <w:sz w:val="20"/>
                <w:szCs w:val="20"/>
              </w:rPr>
            </w:pPr>
          </w:p>
        </w:tc>
        <w:tc>
          <w:tcPr>
            <w:tcW w:w="1505" w:type="dxa"/>
          </w:tcPr>
          <w:p w14:paraId="5567BA45" w14:textId="77777777" w:rsidR="00512DB3" w:rsidRPr="00796568" w:rsidRDefault="00512DB3" w:rsidP="00512DB3">
            <w:pPr>
              <w:spacing w:beforeLines="20" w:before="48" w:afterLines="20" w:after="48"/>
              <w:rPr>
                <w:rFonts w:cs="Arial"/>
                <w:color w:val="800080"/>
                <w:sz w:val="20"/>
                <w:szCs w:val="20"/>
              </w:rPr>
            </w:pPr>
          </w:p>
        </w:tc>
        <w:tc>
          <w:tcPr>
            <w:tcW w:w="1528" w:type="dxa"/>
          </w:tcPr>
          <w:p w14:paraId="0761D75D" w14:textId="77777777" w:rsidR="00512DB3" w:rsidRPr="00796568" w:rsidRDefault="00512DB3" w:rsidP="00512DB3">
            <w:pPr>
              <w:spacing w:beforeLines="20" w:before="48" w:afterLines="20" w:after="48"/>
              <w:rPr>
                <w:rFonts w:cs="Arial"/>
                <w:color w:val="800080"/>
                <w:sz w:val="20"/>
                <w:szCs w:val="20"/>
              </w:rPr>
            </w:pPr>
          </w:p>
        </w:tc>
        <w:tc>
          <w:tcPr>
            <w:tcW w:w="1620" w:type="dxa"/>
          </w:tcPr>
          <w:p w14:paraId="4F8FCCA6" w14:textId="77777777" w:rsidR="00512DB3" w:rsidRPr="00796568" w:rsidRDefault="00512DB3" w:rsidP="00512DB3">
            <w:pPr>
              <w:spacing w:beforeLines="20" w:before="48" w:afterLines="20" w:after="48"/>
              <w:rPr>
                <w:rFonts w:cs="Arial"/>
                <w:color w:val="800080"/>
                <w:sz w:val="20"/>
                <w:szCs w:val="20"/>
              </w:rPr>
            </w:pPr>
          </w:p>
        </w:tc>
        <w:tc>
          <w:tcPr>
            <w:tcW w:w="1527" w:type="dxa"/>
          </w:tcPr>
          <w:p w14:paraId="5AAAC92E" w14:textId="77777777" w:rsidR="00512DB3" w:rsidRPr="00796568" w:rsidRDefault="00512DB3" w:rsidP="00512DB3">
            <w:pPr>
              <w:spacing w:beforeLines="20" w:before="48" w:afterLines="20" w:after="48"/>
              <w:rPr>
                <w:rFonts w:cs="Arial"/>
                <w:color w:val="800080"/>
                <w:sz w:val="20"/>
                <w:szCs w:val="20"/>
              </w:rPr>
            </w:pPr>
          </w:p>
        </w:tc>
      </w:tr>
      <w:tr w:rsidR="0000250D" w:rsidRPr="00796568" w14:paraId="6EC3AE73" w14:textId="77777777" w:rsidTr="00796568">
        <w:trPr>
          <w:cantSplit/>
          <w:tblHeader/>
          <w:jc w:val="center"/>
        </w:trPr>
        <w:tc>
          <w:tcPr>
            <w:tcW w:w="1954" w:type="dxa"/>
          </w:tcPr>
          <w:p w14:paraId="23802A02" w14:textId="57BC2200" w:rsidR="00512DB3" w:rsidRPr="00796568" w:rsidRDefault="00512DB3" w:rsidP="002F31F9">
            <w:pPr>
              <w:pStyle w:val="ListParagraph"/>
              <w:numPr>
                <w:ilvl w:val="0"/>
                <w:numId w:val="8"/>
              </w:numPr>
              <w:spacing w:beforeLines="20" w:before="48" w:afterLines="20" w:after="48"/>
              <w:ind w:left="340" w:hanging="270"/>
              <w:rPr>
                <w:rFonts w:cs="Arial"/>
                <w:color w:val="800080"/>
                <w:sz w:val="20"/>
                <w:szCs w:val="20"/>
              </w:rPr>
            </w:pPr>
            <w:r w:rsidRPr="00796568">
              <w:rPr>
                <w:rFonts w:cs="Arial"/>
                <w:color w:val="800080"/>
                <w:sz w:val="20"/>
                <w:szCs w:val="20"/>
              </w:rPr>
              <w:t>Alternative 1</w:t>
            </w:r>
          </w:p>
        </w:tc>
        <w:tc>
          <w:tcPr>
            <w:tcW w:w="1550" w:type="dxa"/>
          </w:tcPr>
          <w:p w14:paraId="06D8619A" w14:textId="77777777" w:rsidR="00512DB3" w:rsidRPr="00796568" w:rsidRDefault="00512DB3" w:rsidP="00512DB3">
            <w:pPr>
              <w:spacing w:beforeLines="20" w:before="48" w:afterLines="20" w:after="48"/>
              <w:rPr>
                <w:rFonts w:cs="Arial"/>
                <w:color w:val="800080"/>
                <w:sz w:val="20"/>
                <w:szCs w:val="20"/>
              </w:rPr>
            </w:pPr>
          </w:p>
        </w:tc>
        <w:tc>
          <w:tcPr>
            <w:tcW w:w="1634" w:type="dxa"/>
          </w:tcPr>
          <w:p w14:paraId="36250060" w14:textId="77777777" w:rsidR="00512DB3" w:rsidRPr="00796568" w:rsidRDefault="00512DB3" w:rsidP="00512DB3">
            <w:pPr>
              <w:spacing w:beforeLines="20" w:before="48" w:afterLines="20" w:after="48"/>
              <w:rPr>
                <w:rFonts w:cs="Arial"/>
                <w:color w:val="800080"/>
                <w:sz w:val="20"/>
                <w:szCs w:val="20"/>
              </w:rPr>
            </w:pPr>
          </w:p>
        </w:tc>
        <w:tc>
          <w:tcPr>
            <w:tcW w:w="1634" w:type="dxa"/>
          </w:tcPr>
          <w:p w14:paraId="448C3BE4" w14:textId="77777777" w:rsidR="00512DB3" w:rsidRPr="00796568" w:rsidRDefault="00512DB3" w:rsidP="00512DB3">
            <w:pPr>
              <w:spacing w:beforeLines="20" w:before="48" w:afterLines="20" w:after="48"/>
              <w:rPr>
                <w:rFonts w:cs="Arial"/>
                <w:color w:val="800080"/>
                <w:sz w:val="20"/>
                <w:szCs w:val="20"/>
              </w:rPr>
            </w:pPr>
          </w:p>
        </w:tc>
        <w:tc>
          <w:tcPr>
            <w:tcW w:w="1505" w:type="dxa"/>
          </w:tcPr>
          <w:p w14:paraId="52E26B93" w14:textId="77777777" w:rsidR="00512DB3" w:rsidRPr="00796568" w:rsidRDefault="00512DB3" w:rsidP="00512DB3">
            <w:pPr>
              <w:spacing w:beforeLines="20" w:before="48" w:afterLines="20" w:after="48"/>
              <w:rPr>
                <w:rFonts w:cs="Arial"/>
                <w:color w:val="800080"/>
                <w:sz w:val="20"/>
                <w:szCs w:val="20"/>
              </w:rPr>
            </w:pPr>
          </w:p>
        </w:tc>
        <w:tc>
          <w:tcPr>
            <w:tcW w:w="1528" w:type="dxa"/>
          </w:tcPr>
          <w:p w14:paraId="5345C6C2" w14:textId="77777777" w:rsidR="00512DB3" w:rsidRPr="00796568" w:rsidRDefault="00512DB3" w:rsidP="00512DB3">
            <w:pPr>
              <w:spacing w:beforeLines="20" w:before="48" w:afterLines="20" w:after="48"/>
              <w:rPr>
                <w:rFonts w:cs="Arial"/>
                <w:color w:val="800080"/>
                <w:sz w:val="20"/>
                <w:szCs w:val="20"/>
              </w:rPr>
            </w:pPr>
          </w:p>
        </w:tc>
        <w:tc>
          <w:tcPr>
            <w:tcW w:w="1620" w:type="dxa"/>
          </w:tcPr>
          <w:p w14:paraId="36E6F0F2" w14:textId="77777777" w:rsidR="00512DB3" w:rsidRPr="00796568" w:rsidRDefault="00512DB3" w:rsidP="00512DB3">
            <w:pPr>
              <w:spacing w:beforeLines="20" w:before="48" w:afterLines="20" w:after="48"/>
              <w:rPr>
                <w:rFonts w:cs="Arial"/>
                <w:color w:val="800080"/>
                <w:sz w:val="20"/>
                <w:szCs w:val="20"/>
              </w:rPr>
            </w:pPr>
          </w:p>
        </w:tc>
        <w:tc>
          <w:tcPr>
            <w:tcW w:w="1527" w:type="dxa"/>
          </w:tcPr>
          <w:p w14:paraId="54B6400A" w14:textId="77777777" w:rsidR="00512DB3" w:rsidRPr="00796568" w:rsidRDefault="00512DB3" w:rsidP="00512DB3">
            <w:pPr>
              <w:spacing w:beforeLines="20" w:before="48" w:afterLines="20" w:after="48"/>
              <w:rPr>
                <w:rFonts w:cs="Arial"/>
                <w:color w:val="800080"/>
                <w:sz w:val="20"/>
                <w:szCs w:val="20"/>
              </w:rPr>
            </w:pPr>
          </w:p>
        </w:tc>
      </w:tr>
      <w:tr w:rsidR="0000250D" w:rsidRPr="00796568" w14:paraId="2C61F9D6" w14:textId="77777777" w:rsidTr="00796568">
        <w:trPr>
          <w:cantSplit/>
          <w:tblHeader/>
          <w:jc w:val="center"/>
        </w:trPr>
        <w:tc>
          <w:tcPr>
            <w:tcW w:w="1954" w:type="dxa"/>
          </w:tcPr>
          <w:p w14:paraId="513F18F3" w14:textId="677135DC" w:rsidR="00512DB3" w:rsidRPr="00796568" w:rsidRDefault="00512DB3" w:rsidP="002F31F9">
            <w:pPr>
              <w:pStyle w:val="ListParagraph"/>
              <w:numPr>
                <w:ilvl w:val="0"/>
                <w:numId w:val="8"/>
              </w:numPr>
              <w:spacing w:beforeLines="20" w:before="48" w:afterLines="20" w:after="48"/>
              <w:ind w:left="340" w:hanging="270"/>
              <w:rPr>
                <w:rFonts w:cs="Arial"/>
                <w:color w:val="800080"/>
                <w:sz w:val="20"/>
                <w:szCs w:val="20"/>
              </w:rPr>
            </w:pPr>
            <w:r w:rsidRPr="00796568">
              <w:rPr>
                <w:rFonts w:cs="Arial"/>
                <w:color w:val="800080"/>
                <w:sz w:val="20"/>
                <w:szCs w:val="20"/>
              </w:rPr>
              <w:t>Alternative 2</w:t>
            </w:r>
          </w:p>
        </w:tc>
        <w:tc>
          <w:tcPr>
            <w:tcW w:w="1550" w:type="dxa"/>
          </w:tcPr>
          <w:p w14:paraId="7CAD01CF" w14:textId="77777777" w:rsidR="00512DB3" w:rsidRPr="00796568" w:rsidRDefault="00512DB3" w:rsidP="00512DB3">
            <w:pPr>
              <w:spacing w:beforeLines="20" w:before="48" w:afterLines="20" w:after="48"/>
              <w:rPr>
                <w:rFonts w:cs="Arial"/>
                <w:color w:val="800080"/>
                <w:sz w:val="20"/>
                <w:szCs w:val="20"/>
              </w:rPr>
            </w:pPr>
          </w:p>
        </w:tc>
        <w:tc>
          <w:tcPr>
            <w:tcW w:w="1634" w:type="dxa"/>
          </w:tcPr>
          <w:p w14:paraId="142B52BF" w14:textId="77777777" w:rsidR="00512DB3" w:rsidRPr="00796568" w:rsidRDefault="00512DB3" w:rsidP="00512DB3">
            <w:pPr>
              <w:spacing w:beforeLines="20" w:before="48" w:afterLines="20" w:after="48"/>
              <w:rPr>
                <w:rFonts w:cs="Arial"/>
                <w:color w:val="800080"/>
                <w:sz w:val="20"/>
                <w:szCs w:val="20"/>
              </w:rPr>
            </w:pPr>
          </w:p>
        </w:tc>
        <w:tc>
          <w:tcPr>
            <w:tcW w:w="1634" w:type="dxa"/>
          </w:tcPr>
          <w:p w14:paraId="5D121644" w14:textId="77777777" w:rsidR="00512DB3" w:rsidRPr="00796568" w:rsidRDefault="00512DB3" w:rsidP="00512DB3">
            <w:pPr>
              <w:spacing w:beforeLines="20" w:before="48" w:afterLines="20" w:after="48"/>
              <w:rPr>
                <w:rFonts w:cs="Arial"/>
                <w:color w:val="800080"/>
                <w:sz w:val="20"/>
                <w:szCs w:val="20"/>
              </w:rPr>
            </w:pPr>
          </w:p>
        </w:tc>
        <w:tc>
          <w:tcPr>
            <w:tcW w:w="1505" w:type="dxa"/>
          </w:tcPr>
          <w:p w14:paraId="19ED2757" w14:textId="77777777" w:rsidR="00512DB3" w:rsidRPr="00796568" w:rsidRDefault="00512DB3" w:rsidP="00512DB3">
            <w:pPr>
              <w:spacing w:beforeLines="20" w:before="48" w:afterLines="20" w:after="48"/>
              <w:rPr>
                <w:rFonts w:cs="Arial"/>
                <w:color w:val="800080"/>
                <w:sz w:val="20"/>
                <w:szCs w:val="20"/>
              </w:rPr>
            </w:pPr>
          </w:p>
        </w:tc>
        <w:tc>
          <w:tcPr>
            <w:tcW w:w="1528" w:type="dxa"/>
          </w:tcPr>
          <w:p w14:paraId="3A0AF904" w14:textId="77777777" w:rsidR="00512DB3" w:rsidRPr="00796568" w:rsidRDefault="00512DB3" w:rsidP="00512DB3">
            <w:pPr>
              <w:spacing w:beforeLines="20" w:before="48" w:afterLines="20" w:after="48"/>
              <w:rPr>
                <w:rFonts w:cs="Arial"/>
                <w:color w:val="800080"/>
                <w:sz w:val="20"/>
                <w:szCs w:val="20"/>
              </w:rPr>
            </w:pPr>
          </w:p>
        </w:tc>
        <w:tc>
          <w:tcPr>
            <w:tcW w:w="1620" w:type="dxa"/>
          </w:tcPr>
          <w:p w14:paraId="51FFE213" w14:textId="77777777" w:rsidR="00512DB3" w:rsidRPr="00796568" w:rsidRDefault="00512DB3" w:rsidP="00512DB3">
            <w:pPr>
              <w:spacing w:beforeLines="20" w:before="48" w:afterLines="20" w:after="48"/>
              <w:rPr>
                <w:rFonts w:cs="Arial"/>
                <w:color w:val="800080"/>
                <w:sz w:val="20"/>
                <w:szCs w:val="20"/>
              </w:rPr>
            </w:pPr>
          </w:p>
        </w:tc>
        <w:tc>
          <w:tcPr>
            <w:tcW w:w="1527" w:type="dxa"/>
          </w:tcPr>
          <w:p w14:paraId="6090C1A6" w14:textId="77777777" w:rsidR="00512DB3" w:rsidRPr="00796568" w:rsidRDefault="00512DB3" w:rsidP="00512DB3">
            <w:pPr>
              <w:spacing w:beforeLines="20" w:before="48" w:afterLines="20" w:after="48"/>
              <w:rPr>
                <w:rFonts w:cs="Arial"/>
                <w:color w:val="800080"/>
                <w:sz w:val="20"/>
                <w:szCs w:val="20"/>
              </w:rPr>
            </w:pPr>
          </w:p>
        </w:tc>
      </w:tr>
    </w:tbl>
    <w:p w14:paraId="2053C865" w14:textId="0C136E5B" w:rsidR="006C5D3A" w:rsidRDefault="006C5D3A" w:rsidP="00796568">
      <w:pPr>
        <w:spacing w:before="120"/>
      </w:pPr>
      <w:r w:rsidRPr="00796568">
        <w:rPr>
          <w:color w:val="800080"/>
        </w:rPr>
        <w:t>Note: Energy content of 120,</w:t>
      </w:r>
      <w:r w:rsidR="00997C3E" w:rsidRPr="00796568">
        <w:rPr>
          <w:color w:val="800080"/>
        </w:rPr>
        <w:t>2</w:t>
      </w:r>
      <w:r w:rsidR="00997C3E">
        <w:rPr>
          <w:color w:val="800080"/>
        </w:rPr>
        <w:t>14</w:t>
      </w:r>
      <w:r w:rsidR="00997C3E" w:rsidRPr="00796568">
        <w:rPr>
          <w:color w:val="800080"/>
        </w:rPr>
        <w:t xml:space="preserve"> </w:t>
      </w:r>
      <w:r w:rsidRPr="00796568">
        <w:rPr>
          <w:color w:val="800080"/>
        </w:rPr>
        <w:t>BTU per gallon of gasoline, 137,381 BTU per gallon of diesel, and 3,412 BTU per kWh</w:t>
      </w:r>
      <w:r w:rsidR="009A5EDC">
        <w:rPr>
          <w:color w:val="800080"/>
        </w:rPr>
        <w:t xml:space="preserve"> </w:t>
      </w:r>
      <w:r w:rsidR="001F13BA" w:rsidRPr="00454D10">
        <w:rPr>
          <w:color w:val="800080"/>
        </w:rPr>
        <w:t>was used based on the conversion factors listed at:</w:t>
      </w:r>
      <w:r w:rsidR="001F13BA" w:rsidRPr="00454D10">
        <w:t xml:space="preserve"> </w:t>
      </w:r>
      <w:hyperlink r:id="rId11" w:history="1">
        <w:r w:rsidRPr="00454D10">
          <w:rPr>
            <w:rStyle w:val="Hyperlink"/>
          </w:rPr>
          <w:t>https://www.eia.gov/energyexplained/units-and-calculators/british-thermal-units.php</w:t>
        </w:r>
      </w:hyperlink>
      <w:r w:rsidRPr="00796568">
        <w:rPr>
          <w:color w:val="800080"/>
        </w:rPr>
        <w:t xml:space="preserve">, date accessed </w:t>
      </w:r>
      <w:r w:rsidR="00997C3E">
        <w:rPr>
          <w:color w:val="800080"/>
        </w:rPr>
        <w:t>01/29/24</w:t>
      </w:r>
      <w:r w:rsidRPr="00796568">
        <w:rPr>
          <w:color w:val="800080"/>
        </w:rPr>
        <w:t>.</w:t>
      </w:r>
    </w:p>
    <w:p w14:paraId="493B8A88" w14:textId="77777777" w:rsidR="006C5D3A" w:rsidRPr="0000250D" w:rsidRDefault="006C5D3A" w:rsidP="00A41685">
      <w:pPr>
        <w:spacing w:after="120"/>
        <w:rPr>
          <w:color w:val="0000FF"/>
        </w:rPr>
      </w:pPr>
      <w:r w:rsidRPr="00796568">
        <w:rPr>
          <w:color w:val="0000FF"/>
          <w:u w:val="single"/>
        </w:rPr>
        <w:t>Instruction</w:t>
      </w:r>
      <w:r w:rsidRPr="0000250D">
        <w:rPr>
          <w:color w:val="0000FF"/>
        </w:rPr>
        <w:t xml:space="preserve">: </w:t>
      </w:r>
    </w:p>
    <w:p w14:paraId="0C3E53F5" w14:textId="46AA1216" w:rsidR="006C5D3A" w:rsidRPr="0000250D" w:rsidRDefault="006C5D3A" w:rsidP="007C5CF8">
      <w:pPr>
        <w:pStyle w:val="ListParagraph"/>
        <w:numPr>
          <w:ilvl w:val="0"/>
          <w:numId w:val="9"/>
        </w:numPr>
        <w:ind w:left="720" w:hanging="360"/>
        <w:rPr>
          <w:color w:val="0000FF"/>
        </w:rPr>
      </w:pPr>
      <w:r w:rsidRPr="0000250D">
        <w:rPr>
          <w:color w:val="0000FF"/>
        </w:rPr>
        <w:t xml:space="preserve">BTU conversion factors above are from </w:t>
      </w:r>
      <w:hyperlink r:id="rId12" w:history="1">
        <w:r w:rsidRPr="0000250D">
          <w:rPr>
            <w:rStyle w:val="Hyperlink"/>
          </w:rPr>
          <w:t>https://www.eia.gov/energyexplained/units-and-calculators/british-thermal-units.php</w:t>
        </w:r>
      </w:hyperlink>
      <w:r w:rsidRPr="0000250D">
        <w:rPr>
          <w:color w:val="0000FF"/>
        </w:rPr>
        <w:t xml:space="preserve"> based on </w:t>
      </w:r>
      <w:r w:rsidR="00997C3E" w:rsidRPr="0000250D">
        <w:rPr>
          <w:color w:val="0000FF"/>
        </w:rPr>
        <w:t>202</w:t>
      </w:r>
      <w:r w:rsidR="00997C3E">
        <w:rPr>
          <w:color w:val="0000FF"/>
        </w:rPr>
        <w:t>2</w:t>
      </w:r>
      <w:r w:rsidR="00997C3E" w:rsidRPr="0000250D">
        <w:rPr>
          <w:color w:val="0000FF"/>
        </w:rPr>
        <w:t xml:space="preserve"> </w:t>
      </w:r>
      <w:r w:rsidRPr="0000250D">
        <w:rPr>
          <w:color w:val="0000FF"/>
        </w:rPr>
        <w:t>consumption. Refer to the link during energy analysis preparation and use the most current BTU conversion factors.</w:t>
      </w:r>
    </w:p>
    <w:p w14:paraId="4E279B98" w14:textId="62FF6E69" w:rsidR="006C5D3A" w:rsidRPr="0000250D" w:rsidRDefault="006C5D3A" w:rsidP="007C5CF8">
      <w:pPr>
        <w:pStyle w:val="ListParagraph"/>
        <w:numPr>
          <w:ilvl w:val="0"/>
          <w:numId w:val="9"/>
        </w:numPr>
        <w:ind w:left="720" w:hanging="360"/>
        <w:rPr>
          <w:color w:val="0000FF"/>
        </w:rPr>
      </w:pPr>
      <w:r w:rsidRPr="0000250D">
        <w:rPr>
          <w:color w:val="0000FF"/>
        </w:rPr>
        <w:t>Results can be shown in gallons/kWh or BTU. Units like gallon or kWh are easily understood by the public during public review, however, converting to BTU makes comparisons easier. The table above converted gallons &amp; kWh to BTU for ease of comparison.</w:t>
      </w:r>
    </w:p>
    <w:p w14:paraId="6088FBE5" w14:textId="2FD15456" w:rsidR="006C5D3A" w:rsidRPr="0000250D" w:rsidRDefault="006C5D3A" w:rsidP="007C5CF8">
      <w:pPr>
        <w:pStyle w:val="ListParagraph"/>
        <w:numPr>
          <w:ilvl w:val="0"/>
          <w:numId w:val="9"/>
        </w:numPr>
        <w:ind w:left="720" w:hanging="360"/>
        <w:rPr>
          <w:color w:val="0000FF"/>
        </w:rPr>
      </w:pPr>
      <w:r w:rsidRPr="0000250D">
        <w:rPr>
          <w:color w:val="0000FF"/>
        </w:rPr>
        <w:t>If renewable energy (i.e., solar) will be used, include in the analyses. Use of renewable energy is a means to achieve energy conservation.</w:t>
      </w:r>
    </w:p>
    <w:p w14:paraId="00C34A9E" w14:textId="29B4050F" w:rsidR="00B15C3F" w:rsidRDefault="00B15C3F" w:rsidP="00DD52E5">
      <w:pPr>
        <w:sectPr w:rsidR="00B15C3F" w:rsidSect="00DD52E5">
          <w:pgSz w:w="15840" w:h="12240" w:orient="landscape"/>
          <w:pgMar w:top="1440" w:right="1440" w:bottom="1440" w:left="1440" w:header="720" w:footer="720" w:gutter="0"/>
          <w:cols w:space="720"/>
          <w:docGrid w:linePitch="360"/>
        </w:sectPr>
      </w:pPr>
    </w:p>
    <w:p w14:paraId="75B9E6A2" w14:textId="77777777" w:rsidR="00DD52E5" w:rsidRDefault="00DD52E5" w:rsidP="005275BA">
      <w:pPr>
        <w:pStyle w:val="Heading1"/>
      </w:pPr>
      <w:r>
        <w:lastRenderedPageBreak/>
        <w:t>CONCLUSIONS</w:t>
      </w:r>
    </w:p>
    <w:p w14:paraId="77D1B941" w14:textId="77777777" w:rsidR="00DD52E5" w:rsidRPr="00DC46B2" w:rsidRDefault="00DD52E5" w:rsidP="00A41685">
      <w:pPr>
        <w:spacing w:after="120"/>
        <w:rPr>
          <w:color w:val="0000FF"/>
        </w:rPr>
      </w:pPr>
      <w:r w:rsidRPr="00DC46B2">
        <w:rPr>
          <w:color w:val="0000FF"/>
          <w:u w:val="single"/>
        </w:rPr>
        <w:t>Instruction</w:t>
      </w:r>
      <w:r w:rsidRPr="00DC46B2">
        <w:rPr>
          <w:color w:val="0000FF"/>
        </w:rPr>
        <w:t>:</w:t>
      </w:r>
    </w:p>
    <w:p w14:paraId="43BCDBBD" w14:textId="77777777" w:rsidR="00DD52E5" w:rsidRPr="00DC46B2" w:rsidRDefault="00DD52E5" w:rsidP="00DD52E5">
      <w:pPr>
        <w:rPr>
          <w:color w:val="0000FF"/>
        </w:rPr>
      </w:pPr>
      <w:r w:rsidRPr="00DC46B2">
        <w:rPr>
          <w:color w:val="0000FF"/>
        </w:rPr>
        <w:t xml:space="preserve">Summarize the construction (short-term) and operations/maintenance (long-term) impacts. Do not provide discussion of significance determination. Summarize analyses results and conclusions reached. </w:t>
      </w:r>
    </w:p>
    <w:p w14:paraId="3139101D" w14:textId="2AF8A129" w:rsidR="00DD52E5" w:rsidRPr="00002503" w:rsidRDefault="00DD52E5" w:rsidP="00DD52E5">
      <w:pPr>
        <w:rPr>
          <w:color w:val="0000FF"/>
        </w:rPr>
      </w:pPr>
      <w:r w:rsidRPr="00DC46B2">
        <w:rPr>
          <w:color w:val="0000FF"/>
        </w:rPr>
        <w:t>These relevant conclusions will be used for NEPA and CEQA discussion in the environmental document.</w:t>
      </w:r>
    </w:p>
    <w:sectPr w:rsidR="00DD52E5" w:rsidRPr="000025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8C5F" w14:textId="77777777" w:rsidR="00BE7B34" w:rsidRDefault="00BE7B34" w:rsidP="00885D22">
      <w:pPr>
        <w:spacing w:after="0" w:line="240" w:lineRule="auto"/>
      </w:pPr>
      <w:r>
        <w:separator/>
      </w:r>
    </w:p>
  </w:endnote>
  <w:endnote w:type="continuationSeparator" w:id="0">
    <w:p w14:paraId="3C52E13C" w14:textId="77777777" w:rsidR="00BE7B34" w:rsidRDefault="00BE7B34" w:rsidP="0088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717345"/>
      <w:docPartObj>
        <w:docPartGallery w:val="Page Numbers (Bottom of Page)"/>
        <w:docPartUnique/>
      </w:docPartObj>
    </w:sdtPr>
    <w:sdtEndPr/>
    <w:sdtContent>
      <w:sdt>
        <w:sdtPr>
          <w:id w:val="-1705238520"/>
          <w:docPartObj>
            <w:docPartGallery w:val="Page Numbers (Top of Page)"/>
            <w:docPartUnique/>
          </w:docPartObj>
        </w:sdtPr>
        <w:sdtEndPr/>
        <w:sdtContent>
          <w:p w14:paraId="4DC1A95C" w14:textId="10D1C974" w:rsidR="00885D22" w:rsidRDefault="00997C3E" w:rsidP="00B807D6">
            <w:pPr>
              <w:pStyle w:val="Footer"/>
            </w:pPr>
            <w:r>
              <w:t>January 2024</w:t>
            </w:r>
            <w:r w:rsidR="00885D22">
              <w:tab/>
            </w:r>
            <w:r w:rsidR="00885D22">
              <w:tab/>
              <w:t xml:space="preserve">Page </w:t>
            </w:r>
            <w:r w:rsidR="00885D22">
              <w:rPr>
                <w:b/>
                <w:bCs/>
                <w:szCs w:val="24"/>
              </w:rPr>
              <w:fldChar w:fldCharType="begin"/>
            </w:r>
            <w:r w:rsidR="00885D22">
              <w:rPr>
                <w:b/>
                <w:bCs/>
              </w:rPr>
              <w:instrText xml:space="preserve"> PAGE </w:instrText>
            </w:r>
            <w:r w:rsidR="00885D22">
              <w:rPr>
                <w:b/>
                <w:bCs/>
                <w:szCs w:val="24"/>
              </w:rPr>
              <w:fldChar w:fldCharType="separate"/>
            </w:r>
            <w:r w:rsidR="00885D22">
              <w:rPr>
                <w:b/>
                <w:bCs/>
                <w:noProof/>
              </w:rPr>
              <w:t>2</w:t>
            </w:r>
            <w:r w:rsidR="00885D22">
              <w:rPr>
                <w:b/>
                <w:bCs/>
                <w:szCs w:val="24"/>
              </w:rPr>
              <w:fldChar w:fldCharType="end"/>
            </w:r>
            <w:r w:rsidR="00885D22">
              <w:t xml:space="preserve"> of </w:t>
            </w:r>
            <w:r w:rsidR="00885D22">
              <w:rPr>
                <w:b/>
                <w:bCs/>
                <w:szCs w:val="24"/>
              </w:rPr>
              <w:fldChar w:fldCharType="begin"/>
            </w:r>
            <w:r w:rsidR="00885D22">
              <w:rPr>
                <w:b/>
                <w:bCs/>
              </w:rPr>
              <w:instrText xml:space="preserve"> NUMPAGES  </w:instrText>
            </w:r>
            <w:r w:rsidR="00885D22">
              <w:rPr>
                <w:b/>
                <w:bCs/>
                <w:szCs w:val="24"/>
              </w:rPr>
              <w:fldChar w:fldCharType="separate"/>
            </w:r>
            <w:r w:rsidR="00885D22">
              <w:rPr>
                <w:b/>
                <w:bCs/>
                <w:noProof/>
              </w:rPr>
              <w:t>2</w:t>
            </w:r>
            <w:r w:rsidR="00885D22">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808253"/>
      <w:docPartObj>
        <w:docPartGallery w:val="Page Numbers (Bottom of Page)"/>
        <w:docPartUnique/>
      </w:docPartObj>
    </w:sdtPr>
    <w:sdtEndPr/>
    <w:sdtContent>
      <w:sdt>
        <w:sdtPr>
          <w:id w:val="-127944668"/>
          <w:docPartObj>
            <w:docPartGallery w:val="Page Numbers (Top of Page)"/>
            <w:docPartUnique/>
          </w:docPartObj>
        </w:sdtPr>
        <w:sdtEndPr/>
        <w:sdtContent>
          <w:p w14:paraId="50DE9EC1" w14:textId="325FDCE4" w:rsidR="00A15FFF" w:rsidRDefault="00A15FFF">
            <w:pPr>
              <w:pStyle w:val="Footer"/>
            </w:pPr>
            <w:r>
              <w:t>April 2022</w:t>
            </w:r>
            <w:r>
              <w:tab/>
            </w:r>
            <w:r>
              <w:tab/>
              <w:t xml:space="preserve">Page </w:t>
            </w:r>
            <w:r>
              <w:rPr>
                <w:b/>
                <w:bCs/>
                <w:szCs w:val="24"/>
              </w:rPr>
              <w:fldChar w:fldCharType="begin"/>
            </w:r>
            <w:r>
              <w:rPr>
                <w:b/>
                <w:bCs/>
              </w:rPr>
              <w:instrText xml:space="preserve"> PAGE </w:instrText>
            </w:r>
            <w:r>
              <w:rPr>
                <w:b/>
                <w:bCs/>
                <w:szCs w:val="24"/>
              </w:rPr>
              <w:fldChar w:fldCharType="separate"/>
            </w:r>
            <w:r>
              <w:rPr>
                <w:b/>
                <w:bCs/>
                <w:szCs w:val="24"/>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8</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E0A6" w14:textId="77777777" w:rsidR="00BE7B34" w:rsidRDefault="00BE7B34" w:rsidP="00885D22">
      <w:pPr>
        <w:spacing w:after="0" w:line="240" w:lineRule="auto"/>
      </w:pPr>
      <w:r>
        <w:separator/>
      </w:r>
    </w:p>
  </w:footnote>
  <w:footnote w:type="continuationSeparator" w:id="0">
    <w:p w14:paraId="287EDFAB" w14:textId="77777777" w:rsidR="00BE7B34" w:rsidRDefault="00BE7B34" w:rsidP="00885D22">
      <w:pPr>
        <w:spacing w:after="0" w:line="240" w:lineRule="auto"/>
      </w:pPr>
      <w:r>
        <w:continuationSeparator/>
      </w:r>
    </w:p>
  </w:footnote>
  <w:footnote w:id="1">
    <w:p w14:paraId="22D179F4" w14:textId="352E9B9B" w:rsidR="00881B90" w:rsidRDefault="00881B90">
      <w:pPr>
        <w:pStyle w:val="FootnoteText"/>
      </w:pPr>
      <w:r>
        <w:rPr>
          <w:rStyle w:val="FootnoteReference"/>
        </w:rPr>
        <w:footnoteRef/>
      </w:r>
      <w:r>
        <w:t xml:space="preserve"> </w:t>
      </w:r>
      <w:hyperlink r:id="rId1" w:history="1">
        <w:r w:rsidRPr="005A2735">
          <w:rPr>
            <w:rStyle w:val="Hyperlink"/>
          </w:rPr>
          <w:t>https://www.epa.gov/energy/greenhouse-gases-equivalencies-calculator-calculations-and-references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9766" w14:textId="2F4B85E8" w:rsidR="00A15FFF" w:rsidRDefault="00A15FFF" w:rsidP="00A15FFF">
    <w:pPr>
      <w:pStyle w:val="Header"/>
      <w:tabs>
        <w:tab w:val="clear" w:pos="9360"/>
      </w:tabs>
      <w:ind w:right="-540"/>
      <w:jc w:val="right"/>
    </w:pPr>
    <w:r>
      <w:rPr>
        <w:noProof/>
      </w:rPr>
      <w:drawing>
        <wp:inline distT="0" distB="0" distL="0" distR="0" wp14:anchorId="7F5CD56B" wp14:editId="2774564B">
          <wp:extent cx="594360" cy="338328"/>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33832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2E65"/>
    <w:multiLevelType w:val="hybridMultilevel"/>
    <w:tmpl w:val="16D8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A1FD7"/>
    <w:multiLevelType w:val="hybridMultilevel"/>
    <w:tmpl w:val="E572F73A"/>
    <w:lvl w:ilvl="0" w:tplc="1D163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A0D0E"/>
    <w:multiLevelType w:val="hybridMultilevel"/>
    <w:tmpl w:val="2E247A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D7E36"/>
    <w:multiLevelType w:val="hybridMultilevel"/>
    <w:tmpl w:val="6F9E5D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4774995C">
      <w:start w:val="5"/>
      <w:numFmt w:val="bullet"/>
      <w:lvlText w:val="•"/>
      <w:lvlJc w:val="left"/>
      <w:pPr>
        <w:ind w:left="3240" w:hanging="72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668E4"/>
    <w:multiLevelType w:val="hybridMultilevel"/>
    <w:tmpl w:val="7B00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25727"/>
    <w:multiLevelType w:val="hybridMultilevel"/>
    <w:tmpl w:val="4D820618"/>
    <w:lvl w:ilvl="0" w:tplc="1D1637B2">
      <w:start w:val="1"/>
      <w:numFmt w:val="decimal"/>
      <w:lvlText w:val="%1."/>
      <w:lvlJc w:val="left"/>
      <w:pPr>
        <w:ind w:left="1080" w:hanging="720"/>
      </w:pPr>
      <w:rPr>
        <w:rFonts w:hint="default"/>
      </w:rPr>
    </w:lvl>
    <w:lvl w:ilvl="1" w:tplc="854651EE">
      <w:start w:val="2"/>
      <w:numFmt w:val="bullet"/>
      <w:lvlText w:val="•"/>
      <w:lvlJc w:val="left"/>
      <w:pPr>
        <w:ind w:left="1800" w:hanging="720"/>
      </w:pPr>
      <w:rPr>
        <w:rFonts w:ascii="Arial" w:eastAsiaTheme="minorHAnsi" w:hAnsi="Arial" w:cs="Arial" w:hint="default"/>
      </w:rPr>
    </w:lvl>
    <w:lvl w:ilvl="2" w:tplc="364A477C">
      <w:start w:val="3"/>
      <w:numFmt w:val="bullet"/>
      <w:lvlText w:val=""/>
      <w:lvlJc w:val="left"/>
      <w:pPr>
        <w:ind w:left="2700" w:hanging="72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072D0"/>
    <w:multiLevelType w:val="hybridMultilevel"/>
    <w:tmpl w:val="CE6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6607D"/>
    <w:multiLevelType w:val="hybridMultilevel"/>
    <w:tmpl w:val="C204C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5277C"/>
    <w:multiLevelType w:val="hybridMultilevel"/>
    <w:tmpl w:val="31864914"/>
    <w:lvl w:ilvl="0" w:tplc="1D163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B7DE9"/>
    <w:multiLevelType w:val="hybridMultilevel"/>
    <w:tmpl w:val="3CEC84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774995C">
      <w:start w:val="5"/>
      <w:numFmt w:val="bullet"/>
      <w:lvlText w:val="•"/>
      <w:lvlJc w:val="left"/>
      <w:pPr>
        <w:ind w:left="3240" w:hanging="72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50DF4"/>
    <w:multiLevelType w:val="hybridMultilevel"/>
    <w:tmpl w:val="12405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53D6C"/>
    <w:multiLevelType w:val="hybridMultilevel"/>
    <w:tmpl w:val="5C7A0AC8"/>
    <w:lvl w:ilvl="0" w:tplc="1D163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B1BB1"/>
    <w:multiLevelType w:val="hybridMultilevel"/>
    <w:tmpl w:val="F69E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F1FBA"/>
    <w:multiLevelType w:val="hybridMultilevel"/>
    <w:tmpl w:val="CF64BC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826428">
    <w:abstractNumId w:val="9"/>
  </w:num>
  <w:num w:numId="2" w16cid:durableId="1185244817">
    <w:abstractNumId w:val="5"/>
  </w:num>
  <w:num w:numId="3" w16cid:durableId="1369572892">
    <w:abstractNumId w:val="2"/>
  </w:num>
  <w:num w:numId="4" w16cid:durableId="1993482661">
    <w:abstractNumId w:val="13"/>
  </w:num>
  <w:num w:numId="5" w16cid:durableId="209341575">
    <w:abstractNumId w:val="7"/>
  </w:num>
  <w:num w:numId="6" w16cid:durableId="542059657">
    <w:abstractNumId w:val="10"/>
  </w:num>
  <w:num w:numId="7" w16cid:durableId="1767727548">
    <w:abstractNumId w:val="12"/>
  </w:num>
  <w:num w:numId="8" w16cid:durableId="2064983637">
    <w:abstractNumId w:val="0"/>
  </w:num>
  <w:num w:numId="9" w16cid:durableId="120147440">
    <w:abstractNumId w:val="8"/>
  </w:num>
  <w:num w:numId="10" w16cid:durableId="1568833451">
    <w:abstractNumId w:val="11"/>
  </w:num>
  <w:num w:numId="11" w16cid:durableId="541094345">
    <w:abstractNumId w:val="1"/>
  </w:num>
  <w:num w:numId="12" w16cid:durableId="838353101">
    <w:abstractNumId w:val="4"/>
  </w:num>
  <w:num w:numId="13" w16cid:durableId="1554078893">
    <w:abstractNumId w:val="6"/>
  </w:num>
  <w:num w:numId="14" w16cid:durableId="696470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42"/>
    <w:rsid w:val="00002503"/>
    <w:rsid w:val="0000250D"/>
    <w:rsid w:val="000353B0"/>
    <w:rsid w:val="00184357"/>
    <w:rsid w:val="001E20DC"/>
    <w:rsid w:val="001F13BA"/>
    <w:rsid w:val="00202A9A"/>
    <w:rsid w:val="0020441C"/>
    <w:rsid w:val="00223EF0"/>
    <w:rsid w:val="002442EA"/>
    <w:rsid w:val="00281113"/>
    <w:rsid w:val="002F31F9"/>
    <w:rsid w:val="00427637"/>
    <w:rsid w:val="0044060C"/>
    <w:rsid w:val="00445080"/>
    <w:rsid w:val="00454D10"/>
    <w:rsid w:val="00462CB1"/>
    <w:rsid w:val="004700C5"/>
    <w:rsid w:val="00512DB3"/>
    <w:rsid w:val="00516D4A"/>
    <w:rsid w:val="005275BA"/>
    <w:rsid w:val="00533C27"/>
    <w:rsid w:val="00587A78"/>
    <w:rsid w:val="00623FE5"/>
    <w:rsid w:val="00685F0E"/>
    <w:rsid w:val="006976ED"/>
    <w:rsid w:val="006C5D3A"/>
    <w:rsid w:val="006F30BE"/>
    <w:rsid w:val="0070286D"/>
    <w:rsid w:val="00717F22"/>
    <w:rsid w:val="00796568"/>
    <w:rsid w:val="007C5CF8"/>
    <w:rsid w:val="008060DA"/>
    <w:rsid w:val="00866F81"/>
    <w:rsid w:val="00881B90"/>
    <w:rsid w:val="00885D22"/>
    <w:rsid w:val="008F0FCE"/>
    <w:rsid w:val="009075E8"/>
    <w:rsid w:val="00997C3E"/>
    <w:rsid w:val="009A5EDC"/>
    <w:rsid w:val="00A0125A"/>
    <w:rsid w:val="00A15FFF"/>
    <w:rsid w:val="00A41685"/>
    <w:rsid w:val="00A44EB6"/>
    <w:rsid w:val="00A60746"/>
    <w:rsid w:val="00B15C3F"/>
    <w:rsid w:val="00B41B42"/>
    <w:rsid w:val="00B549F4"/>
    <w:rsid w:val="00B807D6"/>
    <w:rsid w:val="00B97914"/>
    <w:rsid w:val="00BC5699"/>
    <w:rsid w:val="00BD1327"/>
    <w:rsid w:val="00BE7B34"/>
    <w:rsid w:val="00BF382A"/>
    <w:rsid w:val="00C706FE"/>
    <w:rsid w:val="00CA5FD3"/>
    <w:rsid w:val="00D10A28"/>
    <w:rsid w:val="00DA590E"/>
    <w:rsid w:val="00DC46B2"/>
    <w:rsid w:val="00DD52E5"/>
    <w:rsid w:val="00E676C9"/>
    <w:rsid w:val="00EA4E5C"/>
    <w:rsid w:val="00F5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ACF9"/>
  <w15:chartTrackingRefBased/>
  <w15:docId w15:val="{2C3A5AA0-9125-4E02-B119-7162E101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396"/>
    <w:pPr>
      <w:spacing w:after="240"/>
    </w:pPr>
    <w:rPr>
      <w:rFonts w:ascii="Arial" w:hAnsi="Arial"/>
      <w:sz w:val="24"/>
    </w:rPr>
  </w:style>
  <w:style w:type="paragraph" w:styleId="Heading1">
    <w:name w:val="heading 1"/>
    <w:basedOn w:val="Normal"/>
    <w:next w:val="Normal"/>
    <w:link w:val="Heading1Char"/>
    <w:uiPriority w:val="9"/>
    <w:qFormat/>
    <w:rsid w:val="005275BA"/>
    <w:pPr>
      <w:outlineLvl w:val="0"/>
    </w:pPr>
    <w:rPr>
      <w:b/>
      <w:bCs/>
      <w:sz w:val="28"/>
    </w:rPr>
  </w:style>
  <w:style w:type="paragraph" w:styleId="Heading2">
    <w:name w:val="heading 2"/>
    <w:basedOn w:val="Normal"/>
    <w:next w:val="Normal"/>
    <w:link w:val="Heading2Char"/>
    <w:uiPriority w:val="9"/>
    <w:unhideWhenUsed/>
    <w:qFormat/>
    <w:rsid w:val="005275BA"/>
    <w:pP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22"/>
    <w:pPr>
      <w:ind w:left="720"/>
      <w:contextualSpacing/>
    </w:pPr>
  </w:style>
  <w:style w:type="paragraph" w:styleId="Header">
    <w:name w:val="header"/>
    <w:basedOn w:val="Normal"/>
    <w:link w:val="HeaderChar"/>
    <w:uiPriority w:val="99"/>
    <w:unhideWhenUsed/>
    <w:rsid w:val="00885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22"/>
    <w:rPr>
      <w:rFonts w:ascii="Arial" w:hAnsi="Arial"/>
      <w:sz w:val="24"/>
    </w:rPr>
  </w:style>
  <w:style w:type="paragraph" w:styleId="Footer">
    <w:name w:val="footer"/>
    <w:basedOn w:val="Normal"/>
    <w:link w:val="FooterChar"/>
    <w:uiPriority w:val="99"/>
    <w:unhideWhenUsed/>
    <w:rsid w:val="00885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22"/>
    <w:rPr>
      <w:rFonts w:ascii="Arial" w:hAnsi="Arial"/>
      <w:sz w:val="24"/>
    </w:rPr>
  </w:style>
  <w:style w:type="table" w:styleId="TableGrid">
    <w:name w:val="Table Grid"/>
    <w:basedOn w:val="TableNormal"/>
    <w:uiPriority w:val="39"/>
    <w:rsid w:val="0042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27637"/>
    <w:pPr>
      <w:spacing w:after="200" w:line="240" w:lineRule="auto"/>
    </w:pPr>
    <w:rPr>
      <w:i/>
      <w:iCs/>
      <w:color w:val="44546A" w:themeColor="text2"/>
      <w:sz w:val="18"/>
      <w:szCs w:val="18"/>
    </w:rPr>
  </w:style>
  <w:style w:type="character" w:styleId="Hyperlink">
    <w:name w:val="Hyperlink"/>
    <w:basedOn w:val="DefaultParagraphFont"/>
    <w:uiPriority w:val="99"/>
    <w:unhideWhenUsed/>
    <w:rsid w:val="0000250D"/>
    <w:rPr>
      <w:color w:val="0000FF"/>
      <w:u w:val="single"/>
    </w:rPr>
  </w:style>
  <w:style w:type="character" w:styleId="UnresolvedMention">
    <w:name w:val="Unresolved Mention"/>
    <w:basedOn w:val="DefaultParagraphFont"/>
    <w:uiPriority w:val="99"/>
    <w:semiHidden/>
    <w:unhideWhenUsed/>
    <w:rsid w:val="006C5D3A"/>
    <w:rPr>
      <w:color w:val="605E5C"/>
      <w:shd w:val="clear" w:color="auto" w:fill="E1DFDD"/>
    </w:rPr>
  </w:style>
  <w:style w:type="paragraph" w:styleId="Title">
    <w:name w:val="Title"/>
    <w:basedOn w:val="Normal"/>
    <w:next w:val="Normal"/>
    <w:link w:val="TitleChar"/>
    <w:uiPriority w:val="10"/>
    <w:qFormat/>
    <w:rsid w:val="005275BA"/>
    <w:pPr>
      <w:jc w:val="center"/>
    </w:pPr>
    <w:rPr>
      <w:b/>
      <w:bCs/>
      <w:sz w:val="32"/>
      <w:szCs w:val="32"/>
    </w:rPr>
  </w:style>
  <w:style w:type="character" w:customStyle="1" w:styleId="TitleChar">
    <w:name w:val="Title Char"/>
    <w:basedOn w:val="DefaultParagraphFont"/>
    <w:link w:val="Title"/>
    <w:uiPriority w:val="10"/>
    <w:rsid w:val="005275BA"/>
    <w:rPr>
      <w:rFonts w:ascii="Arial" w:hAnsi="Arial"/>
      <w:b/>
      <w:bCs/>
      <w:sz w:val="32"/>
      <w:szCs w:val="32"/>
    </w:rPr>
  </w:style>
  <w:style w:type="character" w:customStyle="1" w:styleId="Heading1Char">
    <w:name w:val="Heading 1 Char"/>
    <w:basedOn w:val="DefaultParagraphFont"/>
    <w:link w:val="Heading1"/>
    <w:uiPriority w:val="9"/>
    <w:rsid w:val="005275BA"/>
    <w:rPr>
      <w:rFonts w:ascii="Arial" w:hAnsi="Arial"/>
      <w:b/>
      <w:bCs/>
      <w:sz w:val="28"/>
    </w:rPr>
  </w:style>
  <w:style w:type="character" w:customStyle="1" w:styleId="Heading2Char">
    <w:name w:val="Heading 2 Char"/>
    <w:basedOn w:val="DefaultParagraphFont"/>
    <w:link w:val="Heading2"/>
    <w:uiPriority w:val="9"/>
    <w:rsid w:val="005275BA"/>
    <w:rPr>
      <w:rFonts w:ascii="Arial" w:hAnsi="Arial"/>
      <w:b/>
      <w:bCs/>
      <w:sz w:val="24"/>
      <w:u w:val="single"/>
    </w:rPr>
  </w:style>
  <w:style w:type="paragraph" w:styleId="FootnoteText">
    <w:name w:val="footnote text"/>
    <w:basedOn w:val="Normal"/>
    <w:link w:val="FootnoteTextChar"/>
    <w:uiPriority w:val="99"/>
    <w:semiHidden/>
    <w:unhideWhenUsed/>
    <w:rsid w:val="00881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B90"/>
    <w:rPr>
      <w:rFonts w:ascii="Arial" w:hAnsi="Arial"/>
      <w:sz w:val="20"/>
      <w:szCs w:val="20"/>
    </w:rPr>
  </w:style>
  <w:style w:type="character" w:styleId="FootnoteReference">
    <w:name w:val="footnote reference"/>
    <w:basedOn w:val="DefaultParagraphFont"/>
    <w:uiPriority w:val="99"/>
    <w:semiHidden/>
    <w:unhideWhenUsed/>
    <w:rsid w:val="00881B90"/>
    <w:rPr>
      <w:vertAlign w:val="superscript"/>
    </w:rPr>
  </w:style>
  <w:style w:type="character" w:styleId="FollowedHyperlink">
    <w:name w:val="FollowedHyperlink"/>
    <w:basedOn w:val="DefaultParagraphFont"/>
    <w:uiPriority w:val="99"/>
    <w:semiHidden/>
    <w:unhideWhenUsed/>
    <w:rsid w:val="00866F81"/>
    <w:rPr>
      <w:color w:val="954F72" w:themeColor="followedHyperlink"/>
      <w:u w:val="single"/>
    </w:rPr>
  </w:style>
  <w:style w:type="paragraph" w:styleId="Revision">
    <w:name w:val="Revision"/>
    <w:hidden/>
    <w:uiPriority w:val="99"/>
    <w:semiHidden/>
    <w:rsid w:val="00C706FE"/>
    <w:pPr>
      <w:spacing w:after="0" w:line="240" w:lineRule="auto"/>
    </w:pPr>
    <w:rPr>
      <w:rFonts w:ascii="Arial" w:hAnsi="Arial"/>
      <w:sz w:val="24"/>
    </w:rPr>
  </w:style>
  <w:style w:type="paragraph" w:customStyle="1" w:styleId="TableText">
    <w:name w:val="Table Text"/>
    <w:basedOn w:val="Normal"/>
    <w:rsid w:val="008F0FCE"/>
    <w:pPr>
      <w:spacing w:before="30" w:after="30" w:line="240" w:lineRule="auto"/>
    </w:pPr>
    <w:rPr>
      <w:rFonts w:cs="Arial"/>
      <w:sz w:val="20"/>
      <w:szCs w:val="24"/>
    </w:rPr>
  </w:style>
  <w:style w:type="paragraph" w:customStyle="1" w:styleId="TableHeading">
    <w:name w:val="Table Heading"/>
    <w:basedOn w:val="Normal"/>
    <w:rsid w:val="008F0FCE"/>
    <w:pPr>
      <w:spacing w:before="30" w:after="30" w:line="240" w:lineRule="auto"/>
    </w:pPr>
    <w:rPr>
      <w:rFonts w:cs="Arial"/>
      <w:b/>
      <w:bCs/>
      <w:sz w:val="20"/>
      <w:szCs w:val="24"/>
    </w:rPr>
  </w:style>
  <w:style w:type="paragraph" w:customStyle="1" w:styleId="TableTitle">
    <w:name w:val="Table Title"/>
    <w:basedOn w:val="Caption"/>
    <w:rsid w:val="008F0FCE"/>
    <w:pPr>
      <w:keepNext/>
    </w:pPr>
    <w:rPr>
      <w:b/>
      <w:bCs/>
      <w:i w:val="0"/>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a.gov/energyexplained/units-and-calculators/british-thermal-unit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a.gov/energyexplained/units-and-calculators/british-thermal-units.ph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energy/greenhouse-gases-equivalencies-calculator-calculations-and-refer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0B70-A083-4AA6-B97A-8D441A7B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Energy Analysis Memo Outline</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Analysis Technical Memo</dc:title>
  <dc:subject>Energy Analysis Technical Memo</dc:subject>
  <dc:creator>Division of Environmental Analysis</dc:creator>
  <cp:keywords>Energy</cp:keywords>
  <dc:description/>
  <cp:lastModifiedBy>Clark, Jennifer S@DOT</cp:lastModifiedBy>
  <cp:revision>5</cp:revision>
  <dcterms:created xsi:type="dcterms:W3CDTF">2024-01-30T22:54:00Z</dcterms:created>
  <dcterms:modified xsi:type="dcterms:W3CDTF">2024-01-31T00:45:00Z</dcterms:modified>
</cp:coreProperties>
</file>